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AB85" w14:textId="58CF6C72" w:rsidR="00924635" w:rsidRPr="00EC79E0" w:rsidRDefault="007A506E" w:rsidP="00924635">
      <w:pPr>
        <w:spacing w:before="120" w:after="0" w:line="240" w:lineRule="auto"/>
        <w:jc w:val="center"/>
        <w:rPr>
          <w:rFonts w:eastAsia="Times New Roman" w:cs="Times New Roman"/>
          <w:bCs/>
          <w:smallCaps/>
          <w:sz w:val="28"/>
          <w:szCs w:val="28"/>
        </w:rPr>
      </w:pPr>
      <w:r>
        <w:rPr>
          <w:rFonts w:eastAsia="Times New Roman" w:cs="Times New Roman"/>
          <w:bCs/>
          <w:smallCaps/>
          <w:color w:val="000000"/>
          <w:sz w:val="28"/>
          <w:szCs w:val="28"/>
        </w:rPr>
        <w:t>Self-Regulation and Innovation</w:t>
      </w:r>
    </w:p>
    <w:p w14:paraId="6F11E5E1" w14:textId="751AC11E" w:rsidR="00924635" w:rsidRPr="00EC79E0" w:rsidRDefault="00924635" w:rsidP="00924635">
      <w:pPr>
        <w:spacing w:after="0" w:line="240" w:lineRule="auto"/>
        <w:rPr>
          <w:rFonts w:eastAsia="Times New Roman" w:cs="Times New Roman"/>
          <w:szCs w:val="24"/>
        </w:rPr>
      </w:pPr>
    </w:p>
    <w:p w14:paraId="2EB68B37" w14:textId="2807E273" w:rsidR="00924635" w:rsidRPr="00EC79E0" w:rsidRDefault="00924635" w:rsidP="00EC79E0">
      <w:pPr>
        <w:spacing w:after="0" w:line="240" w:lineRule="auto"/>
        <w:jc w:val="center"/>
        <w:rPr>
          <w:rFonts w:eastAsia="Times New Roman" w:cs="Times New Roman"/>
          <w:szCs w:val="24"/>
        </w:rPr>
      </w:pPr>
      <w:r w:rsidRPr="00EC79E0">
        <w:rPr>
          <w:rFonts w:eastAsia="Times New Roman" w:cs="Times New Roman"/>
          <w:color w:val="000000"/>
          <w:szCs w:val="24"/>
        </w:rPr>
        <w:t>Daniel E. Walters</w:t>
      </w:r>
      <w:r w:rsidRPr="00EC79E0">
        <w:rPr>
          <w:rStyle w:val="FootnoteReference"/>
          <w:rFonts w:eastAsia="Times New Roman" w:cs="Times New Roman"/>
          <w:color w:val="000000"/>
          <w:szCs w:val="24"/>
        </w:rPr>
        <w:footnoteReference w:customMarkFollows="1" w:id="1"/>
        <w:t>*</w:t>
      </w:r>
      <w:r w:rsidRPr="00EC79E0">
        <w:rPr>
          <w:rFonts w:eastAsia="Times New Roman" w:cs="Times New Roman"/>
          <w:color w:val="000000"/>
          <w:szCs w:val="24"/>
        </w:rPr>
        <w:t xml:space="preserve"> &amp; Hannah J. Wiseman</w:t>
      </w:r>
      <w:r w:rsidRPr="00EC79E0">
        <w:rPr>
          <w:rStyle w:val="FootnoteReference"/>
          <w:rFonts w:eastAsia="Times New Roman" w:cs="Times New Roman"/>
          <w:color w:val="000000"/>
          <w:szCs w:val="24"/>
        </w:rPr>
        <w:footnoteReference w:customMarkFollows="1" w:id="2"/>
        <w:t>**</w:t>
      </w:r>
    </w:p>
    <w:p w14:paraId="2568EDE1" w14:textId="4EC5CC3A" w:rsidR="00EC79E0" w:rsidRDefault="00EC79E0" w:rsidP="00924635">
      <w:pPr>
        <w:spacing w:after="0" w:line="240" w:lineRule="auto"/>
        <w:jc w:val="both"/>
        <w:rPr>
          <w:rFonts w:eastAsia="Times New Roman" w:cs="Times New Roman"/>
          <w:b/>
          <w:bCs/>
          <w:color w:val="000000"/>
          <w:szCs w:val="24"/>
        </w:rPr>
      </w:pPr>
    </w:p>
    <w:p w14:paraId="499CD7DB" w14:textId="59C526EF" w:rsidR="00453D1A" w:rsidRDefault="009001DB" w:rsidP="00924635">
      <w:pPr>
        <w:spacing w:after="0" w:line="240" w:lineRule="auto"/>
        <w:jc w:val="both"/>
        <w:rPr>
          <w:rFonts w:eastAsia="Times New Roman" w:cs="Times New Roman"/>
          <w:color w:val="000000"/>
          <w:szCs w:val="24"/>
        </w:rPr>
      </w:pPr>
      <w:r w:rsidRPr="000C5B80">
        <w:rPr>
          <w:rFonts w:eastAsia="Times New Roman" w:cs="Times New Roman"/>
          <w:b/>
          <w:bCs/>
          <w:color w:val="000000"/>
          <w:szCs w:val="24"/>
        </w:rPr>
        <w:t>Abstract</w:t>
      </w:r>
      <w:r>
        <w:rPr>
          <w:rFonts w:eastAsia="Times New Roman" w:cs="Times New Roman"/>
          <w:color w:val="000000"/>
          <w:szCs w:val="24"/>
        </w:rPr>
        <w:t xml:space="preserve">: </w:t>
      </w:r>
      <w:r w:rsidR="00905677">
        <w:rPr>
          <w:rFonts w:eastAsia="Times New Roman" w:cs="Times New Roman"/>
          <w:color w:val="000000"/>
          <w:szCs w:val="24"/>
        </w:rPr>
        <w:t>S</w:t>
      </w:r>
      <w:r w:rsidR="006E7596" w:rsidRPr="006E7596">
        <w:rPr>
          <w:rFonts w:eastAsia="Times New Roman" w:cs="Times New Roman"/>
          <w:color w:val="000000"/>
          <w:szCs w:val="24"/>
        </w:rPr>
        <w:t>elf-regulation—governance of firm behavior by private entities—</w:t>
      </w:r>
      <w:r w:rsidR="00905677">
        <w:rPr>
          <w:rFonts w:eastAsia="Times New Roman" w:cs="Times New Roman"/>
          <w:color w:val="000000"/>
          <w:szCs w:val="24"/>
        </w:rPr>
        <w:t xml:space="preserve">has a long history </w:t>
      </w:r>
      <w:r w:rsidR="006E7596" w:rsidRPr="006E7596">
        <w:rPr>
          <w:rFonts w:eastAsia="Times New Roman" w:cs="Times New Roman"/>
          <w:color w:val="000000"/>
          <w:szCs w:val="24"/>
        </w:rPr>
        <w:t>both in the United States and globally, and</w:t>
      </w:r>
      <w:r w:rsidR="00905677">
        <w:rPr>
          <w:rFonts w:eastAsia="Times New Roman" w:cs="Times New Roman"/>
          <w:color w:val="000000"/>
          <w:szCs w:val="24"/>
        </w:rPr>
        <w:t xml:space="preserve"> there is</w:t>
      </w:r>
      <w:r w:rsidR="00FD1EA1">
        <w:rPr>
          <w:rFonts w:eastAsia="Times New Roman" w:cs="Times New Roman"/>
          <w:color w:val="000000"/>
          <w:szCs w:val="24"/>
        </w:rPr>
        <w:t xml:space="preserve"> </w:t>
      </w:r>
      <w:r w:rsidR="00905677">
        <w:rPr>
          <w:rFonts w:eastAsia="Times New Roman" w:cs="Times New Roman"/>
          <w:color w:val="000000"/>
          <w:szCs w:val="24"/>
        </w:rPr>
        <w:t>an extensive literature on the topic</w:t>
      </w:r>
      <w:r w:rsidR="001C1C8B">
        <w:rPr>
          <w:rFonts w:eastAsia="Times New Roman" w:cs="Times New Roman"/>
          <w:color w:val="000000"/>
          <w:szCs w:val="24"/>
        </w:rPr>
        <w:t>.</w:t>
      </w:r>
      <w:r w:rsidR="006E7596" w:rsidRPr="006E7596">
        <w:rPr>
          <w:rFonts w:eastAsia="Times New Roman" w:cs="Times New Roman"/>
          <w:color w:val="000000"/>
          <w:szCs w:val="24"/>
        </w:rPr>
        <w:t xml:space="preserve"> But there has been</w:t>
      </w:r>
      <w:r w:rsidR="00905677">
        <w:rPr>
          <w:rFonts w:eastAsia="Times New Roman" w:cs="Times New Roman"/>
          <w:color w:val="000000"/>
          <w:szCs w:val="24"/>
        </w:rPr>
        <w:t xml:space="preserve"> far</w:t>
      </w:r>
      <w:r w:rsidR="006E7596" w:rsidRPr="006E7596">
        <w:rPr>
          <w:rFonts w:eastAsia="Times New Roman" w:cs="Times New Roman"/>
          <w:color w:val="000000"/>
          <w:szCs w:val="24"/>
        </w:rPr>
        <w:t xml:space="preserve"> less attention</w:t>
      </w:r>
      <w:r w:rsidR="00905677">
        <w:rPr>
          <w:rFonts w:eastAsia="Times New Roman" w:cs="Times New Roman"/>
          <w:color w:val="000000"/>
          <w:szCs w:val="24"/>
        </w:rPr>
        <w:t xml:space="preserve"> paid</w:t>
      </w:r>
      <w:r w:rsidR="006E7596" w:rsidRPr="006E7596">
        <w:rPr>
          <w:rFonts w:eastAsia="Times New Roman" w:cs="Times New Roman"/>
          <w:color w:val="000000"/>
          <w:szCs w:val="24"/>
        </w:rPr>
        <w:t xml:space="preserve"> to the role</w:t>
      </w:r>
      <w:r w:rsidR="007A456C">
        <w:rPr>
          <w:rFonts w:eastAsia="Times New Roman" w:cs="Times New Roman"/>
          <w:color w:val="000000"/>
          <w:szCs w:val="24"/>
        </w:rPr>
        <w:t xml:space="preserve"> </w:t>
      </w:r>
      <w:r w:rsidR="00FD1EA1">
        <w:rPr>
          <w:rFonts w:eastAsia="Times New Roman" w:cs="Times New Roman"/>
          <w:color w:val="000000"/>
          <w:szCs w:val="24"/>
        </w:rPr>
        <w:t xml:space="preserve">self-regulation </w:t>
      </w:r>
      <w:r w:rsidR="00905677">
        <w:rPr>
          <w:rFonts w:eastAsia="Times New Roman" w:cs="Times New Roman"/>
          <w:color w:val="000000"/>
          <w:szCs w:val="24"/>
        </w:rPr>
        <w:t xml:space="preserve">can play </w:t>
      </w:r>
      <w:r w:rsidR="006E7596" w:rsidRPr="006E7596">
        <w:rPr>
          <w:rFonts w:eastAsia="Times New Roman" w:cs="Times New Roman"/>
          <w:color w:val="000000"/>
          <w:szCs w:val="24"/>
        </w:rPr>
        <w:t xml:space="preserve">in spurring and enabling innovation and growth within emerging industries. </w:t>
      </w:r>
      <w:r w:rsidR="00905677">
        <w:rPr>
          <w:rFonts w:eastAsia="Times New Roman" w:cs="Times New Roman"/>
          <w:color w:val="000000"/>
          <w:szCs w:val="24"/>
        </w:rPr>
        <w:t xml:space="preserve">These industries—both currently emerging </w:t>
      </w:r>
      <w:r w:rsidR="000341C4">
        <w:rPr>
          <w:rFonts w:eastAsia="Times New Roman" w:cs="Times New Roman"/>
          <w:color w:val="000000"/>
          <w:szCs w:val="24"/>
        </w:rPr>
        <w:t>ones such as</w:t>
      </w:r>
      <w:r w:rsidR="007A456C">
        <w:rPr>
          <w:rFonts w:eastAsia="Times New Roman" w:cs="Times New Roman"/>
          <w:color w:val="000000"/>
          <w:szCs w:val="24"/>
        </w:rPr>
        <w:t xml:space="preserve"> hydrogen and artificial intelligence, as well as formerly new (but now well established) activities in hydraulic fracturing and Internet communications—plausibly benefit from self-regulation</w:t>
      </w:r>
      <w:r w:rsidR="00195B0E">
        <w:rPr>
          <w:rFonts w:eastAsia="Times New Roman" w:cs="Times New Roman"/>
          <w:color w:val="000000"/>
          <w:szCs w:val="24"/>
        </w:rPr>
        <w:t xml:space="preserve">’s ability to coordinate </w:t>
      </w:r>
      <w:r w:rsidR="00100538">
        <w:rPr>
          <w:rFonts w:eastAsia="Times New Roman" w:cs="Times New Roman"/>
          <w:color w:val="000000"/>
          <w:szCs w:val="24"/>
        </w:rPr>
        <w:t xml:space="preserve">economic actors and </w:t>
      </w:r>
      <w:r w:rsidR="00EC3501">
        <w:rPr>
          <w:rFonts w:eastAsia="Times New Roman" w:cs="Times New Roman"/>
          <w:color w:val="000000"/>
          <w:szCs w:val="24"/>
        </w:rPr>
        <w:t>reassure often skeptical publics</w:t>
      </w:r>
      <w:r w:rsidR="007A456C">
        <w:rPr>
          <w:rFonts w:eastAsia="Times New Roman" w:cs="Times New Roman"/>
          <w:color w:val="000000"/>
          <w:szCs w:val="24"/>
        </w:rPr>
        <w:t xml:space="preserve">.  </w:t>
      </w:r>
      <w:r w:rsidR="00453D1A">
        <w:rPr>
          <w:rFonts w:eastAsia="Times New Roman" w:cs="Times New Roman"/>
          <w:color w:val="000000"/>
          <w:szCs w:val="24"/>
        </w:rPr>
        <w:t>Examining th</w:t>
      </w:r>
      <w:r w:rsidR="007A456C">
        <w:rPr>
          <w:rFonts w:eastAsia="Times New Roman" w:cs="Times New Roman"/>
          <w:color w:val="000000"/>
          <w:szCs w:val="24"/>
        </w:rPr>
        <w:t xml:space="preserve">e ways that self-regulation impacts </w:t>
      </w:r>
      <w:r w:rsidR="002654C4">
        <w:rPr>
          <w:rFonts w:eastAsia="Times New Roman" w:cs="Times New Roman"/>
          <w:color w:val="000000"/>
          <w:szCs w:val="24"/>
        </w:rPr>
        <w:t>this special type of industry</w:t>
      </w:r>
      <w:r w:rsidR="00453D1A">
        <w:rPr>
          <w:rFonts w:eastAsia="Times New Roman" w:cs="Times New Roman"/>
          <w:color w:val="000000"/>
          <w:szCs w:val="24"/>
        </w:rPr>
        <w:t xml:space="preserve"> is important </w:t>
      </w:r>
      <w:r w:rsidR="00E03927">
        <w:rPr>
          <w:rFonts w:eastAsia="Times New Roman" w:cs="Times New Roman"/>
          <w:color w:val="000000"/>
          <w:szCs w:val="24"/>
        </w:rPr>
        <w:t xml:space="preserve">both </w:t>
      </w:r>
      <w:r w:rsidR="00453D1A">
        <w:rPr>
          <w:rFonts w:eastAsia="Times New Roman" w:cs="Times New Roman"/>
          <w:color w:val="000000"/>
          <w:szCs w:val="24"/>
        </w:rPr>
        <w:t xml:space="preserve">to expand the </w:t>
      </w:r>
      <w:r w:rsidR="005B1D33">
        <w:rPr>
          <w:rFonts w:eastAsia="Times New Roman" w:cs="Times New Roman"/>
          <w:color w:val="000000"/>
          <w:szCs w:val="24"/>
        </w:rPr>
        <w:t>self-regulation</w:t>
      </w:r>
      <w:r w:rsidR="00453D1A">
        <w:rPr>
          <w:rFonts w:eastAsia="Times New Roman" w:cs="Times New Roman"/>
          <w:color w:val="000000"/>
          <w:szCs w:val="24"/>
        </w:rPr>
        <w:t xml:space="preserve"> literature</w:t>
      </w:r>
      <w:r w:rsidR="00776B81">
        <w:rPr>
          <w:rFonts w:eastAsia="Times New Roman" w:cs="Times New Roman"/>
          <w:color w:val="000000"/>
          <w:szCs w:val="24"/>
        </w:rPr>
        <w:t xml:space="preserve"> to account for an explosion of </w:t>
      </w:r>
      <w:r w:rsidR="002072EF">
        <w:rPr>
          <w:rFonts w:eastAsia="Times New Roman" w:cs="Times New Roman"/>
          <w:color w:val="000000"/>
          <w:szCs w:val="24"/>
        </w:rPr>
        <w:t>innovative industries in recent years</w:t>
      </w:r>
      <w:r w:rsidR="00453D1A">
        <w:rPr>
          <w:rFonts w:eastAsia="Times New Roman" w:cs="Times New Roman"/>
          <w:color w:val="000000"/>
          <w:szCs w:val="24"/>
        </w:rPr>
        <w:t xml:space="preserve"> and to strengthen the innovation literature, which explores how </w:t>
      </w:r>
      <w:r w:rsidR="00905677">
        <w:rPr>
          <w:rFonts w:eastAsia="Times New Roman" w:cs="Times New Roman"/>
          <w:color w:val="000000"/>
          <w:szCs w:val="24"/>
        </w:rPr>
        <w:t xml:space="preserve">other </w:t>
      </w:r>
      <w:r w:rsidR="001C1C8B">
        <w:rPr>
          <w:rFonts w:eastAsia="Times New Roman" w:cs="Times New Roman"/>
          <w:color w:val="000000"/>
          <w:szCs w:val="24"/>
        </w:rPr>
        <w:t>factors</w:t>
      </w:r>
      <w:r w:rsidR="00905677">
        <w:rPr>
          <w:rFonts w:eastAsia="Times New Roman" w:cs="Times New Roman"/>
          <w:color w:val="000000"/>
          <w:szCs w:val="24"/>
        </w:rPr>
        <w:t>,</w:t>
      </w:r>
      <w:r w:rsidR="001C1C8B">
        <w:rPr>
          <w:rFonts w:eastAsia="Times New Roman" w:cs="Times New Roman"/>
          <w:color w:val="000000"/>
          <w:szCs w:val="24"/>
        </w:rPr>
        <w:t xml:space="preserve"> such as intellectual property rights and public incentives</w:t>
      </w:r>
      <w:r w:rsidR="00905677">
        <w:rPr>
          <w:rFonts w:eastAsia="Times New Roman" w:cs="Times New Roman"/>
          <w:color w:val="000000"/>
          <w:szCs w:val="24"/>
        </w:rPr>
        <w:t>,</w:t>
      </w:r>
      <w:r w:rsidR="00453D1A">
        <w:rPr>
          <w:rFonts w:eastAsia="Times New Roman" w:cs="Times New Roman"/>
          <w:color w:val="000000"/>
          <w:szCs w:val="24"/>
        </w:rPr>
        <w:t xml:space="preserve"> </w:t>
      </w:r>
      <w:proofErr w:type="gramStart"/>
      <w:r w:rsidR="00453D1A">
        <w:rPr>
          <w:rFonts w:eastAsia="Times New Roman" w:cs="Times New Roman"/>
          <w:color w:val="000000"/>
          <w:szCs w:val="24"/>
        </w:rPr>
        <w:t>spur</w:t>
      </w:r>
      <w:proofErr w:type="gramEnd"/>
      <w:r w:rsidR="00453D1A">
        <w:rPr>
          <w:rFonts w:eastAsia="Times New Roman" w:cs="Times New Roman"/>
          <w:color w:val="000000"/>
          <w:szCs w:val="24"/>
        </w:rPr>
        <w:t xml:space="preserve"> or stifle innovation</w:t>
      </w:r>
      <w:r w:rsidR="00905677">
        <w:rPr>
          <w:rFonts w:eastAsia="Times New Roman" w:cs="Times New Roman"/>
          <w:color w:val="000000"/>
          <w:szCs w:val="24"/>
        </w:rPr>
        <w:t xml:space="preserve">. </w:t>
      </w:r>
    </w:p>
    <w:p w14:paraId="77D4CE13" w14:textId="77777777" w:rsidR="00453D1A" w:rsidRDefault="00453D1A" w:rsidP="00924635">
      <w:pPr>
        <w:spacing w:after="0" w:line="240" w:lineRule="auto"/>
        <w:jc w:val="both"/>
        <w:rPr>
          <w:rFonts w:eastAsia="Times New Roman" w:cs="Times New Roman"/>
          <w:color w:val="000000"/>
          <w:szCs w:val="24"/>
        </w:rPr>
      </w:pPr>
    </w:p>
    <w:p w14:paraId="1538B23B" w14:textId="42273E35" w:rsidR="009001DB" w:rsidRDefault="000341C4" w:rsidP="00924635">
      <w:pPr>
        <w:spacing w:after="0" w:line="240" w:lineRule="auto"/>
        <w:jc w:val="both"/>
        <w:rPr>
          <w:rFonts w:eastAsia="Times New Roman" w:cs="Times New Roman"/>
          <w:color w:val="000000"/>
          <w:szCs w:val="24"/>
        </w:rPr>
      </w:pPr>
      <w:r>
        <w:rPr>
          <w:rFonts w:eastAsia="Times New Roman" w:cs="Times New Roman"/>
          <w:color w:val="000000"/>
          <w:szCs w:val="24"/>
        </w:rPr>
        <w:t>Relying on a comprehensive analysis of existing literature and our own case studies,</w:t>
      </w:r>
      <w:r w:rsidR="00453D1A">
        <w:rPr>
          <w:rFonts w:eastAsia="Times New Roman" w:cs="Times New Roman"/>
          <w:color w:val="000000"/>
          <w:szCs w:val="24"/>
        </w:rPr>
        <w:t xml:space="preserve"> w</w:t>
      </w:r>
      <w:r w:rsidR="00453D1A" w:rsidRPr="006E7596">
        <w:rPr>
          <w:rFonts w:eastAsia="Times New Roman" w:cs="Times New Roman"/>
          <w:color w:val="000000"/>
          <w:szCs w:val="24"/>
        </w:rPr>
        <w:t xml:space="preserve">e </w:t>
      </w:r>
      <w:r>
        <w:rPr>
          <w:rFonts w:eastAsia="Times New Roman" w:cs="Times New Roman"/>
          <w:color w:val="000000"/>
          <w:szCs w:val="24"/>
        </w:rPr>
        <w:t>identify</w:t>
      </w:r>
      <w:r w:rsidRPr="006E7596">
        <w:rPr>
          <w:rFonts w:eastAsia="Times New Roman" w:cs="Times New Roman"/>
          <w:color w:val="000000"/>
          <w:szCs w:val="24"/>
        </w:rPr>
        <w:t xml:space="preserve"> </w:t>
      </w:r>
      <w:r w:rsidR="006E7596" w:rsidRPr="006E7596">
        <w:rPr>
          <w:rFonts w:eastAsia="Times New Roman" w:cs="Times New Roman"/>
          <w:color w:val="000000"/>
          <w:szCs w:val="24"/>
        </w:rPr>
        <w:t xml:space="preserve">the attributes of </w:t>
      </w:r>
      <w:proofErr w:type="gramStart"/>
      <w:r w:rsidR="0013173D">
        <w:rPr>
          <w:rFonts w:eastAsia="Times New Roman" w:cs="Times New Roman"/>
          <w:color w:val="000000"/>
          <w:szCs w:val="24"/>
        </w:rPr>
        <w:t xml:space="preserve">a </w:t>
      </w:r>
      <w:r w:rsidR="007A456C">
        <w:rPr>
          <w:rFonts w:eastAsia="Times New Roman" w:cs="Times New Roman"/>
          <w:color w:val="000000"/>
          <w:szCs w:val="24"/>
        </w:rPr>
        <w:t>self</w:t>
      </w:r>
      <w:proofErr w:type="gramEnd"/>
      <w:r w:rsidR="007A456C">
        <w:rPr>
          <w:rFonts w:eastAsia="Times New Roman" w:cs="Times New Roman"/>
          <w:color w:val="000000"/>
          <w:szCs w:val="24"/>
        </w:rPr>
        <w:t>-regulatory</w:t>
      </w:r>
      <w:r w:rsidR="0013173D">
        <w:rPr>
          <w:rFonts w:eastAsia="Times New Roman" w:cs="Times New Roman"/>
          <w:color w:val="000000"/>
          <w:szCs w:val="24"/>
        </w:rPr>
        <w:t xml:space="preserve"> regime</w:t>
      </w:r>
      <w:r w:rsidR="00905677">
        <w:rPr>
          <w:rFonts w:eastAsia="Times New Roman" w:cs="Times New Roman"/>
          <w:color w:val="000000"/>
          <w:szCs w:val="24"/>
        </w:rPr>
        <w:t>s</w:t>
      </w:r>
      <w:r w:rsidR="0013173D">
        <w:rPr>
          <w:rFonts w:eastAsia="Times New Roman" w:cs="Times New Roman"/>
          <w:color w:val="000000"/>
          <w:szCs w:val="24"/>
        </w:rPr>
        <w:t xml:space="preserve"> </w:t>
      </w:r>
      <w:r w:rsidR="006E7596" w:rsidRPr="006E7596">
        <w:rPr>
          <w:rFonts w:eastAsia="Times New Roman" w:cs="Times New Roman"/>
          <w:color w:val="000000"/>
          <w:szCs w:val="24"/>
        </w:rPr>
        <w:t xml:space="preserve">that seem to support innovation and </w:t>
      </w:r>
      <w:r w:rsidR="00453D1A">
        <w:rPr>
          <w:rFonts w:eastAsia="Times New Roman" w:cs="Times New Roman"/>
          <w:color w:val="000000"/>
          <w:szCs w:val="24"/>
        </w:rPr>
        <w:t xml:space="preserve">the </w:t>
      </w:r>
      <w:r w:rsidR="006E7596" w:rsidRPr="006E7596">
        <w:rPr>
          <w:rFonts w:eastAsia="Times New Roman" w:cs="Times New Roman"/>
          <w:color w:val="000000"/>
          <w:szCs w:val="24"/>
        </w:rPr>
        <w:t xml:space="preserve">scaling up of operations. </w:t>
      </w:r>
      <w:r>
        <w:rPr>
          <w:rFonts w:eastAsia="Times New Roman" w:cs="Times New Roman"/>
          <w:color w:val="000000"/>
          <w:szCs w:val="24"/>
        </w:rPr>
        <w:t>Our case studies show that innovative, emerging industries rely on self-regulation to</w:t>
      </w:r>
      <w:r w:rsidR="006E7596" w:rsidRPr="006E7596">
        <w:rPr>
          <w:rFonts w:eastAsia="Times New Roman" w:cs="Times New Roman"/>
          <w:color w:val="000000"/>
          <w:szCs w:val="24"/>
        </w:rPr>
        <w:t xml:space="preserve"> provide an important balance of certainty and flexibility</w:t>
      </w:r>
      <w:r w:rsidR="00E03927">
        <w:rPr>
          <w:rFonts w:eastAsia="Times New Roman" w:cs="Times New Roman"/>
          <w:color w:val="000000"/>
          <w:szCs w:val="24"/>
        </w:rPr>
        <w:t>;</w:t>
      </w:r>
      <w:r w:rsidR="00E03927" w:rsidRPr="006E7596">
        <w:rPr>
          <w:rFonts w:eastAsia="Times New Roman" w:cs="Times New Roman"/>
          <w:color w:val="000000"/>
          <w:szCs w:val="24"/>
        </w:rPr>
        <w:t xml:space="preserve"> </w:t>
      </w:r>
      <w:r w:rsidR="006E7596" w:rsidRPr="006E7596">
        <w:rPr>
          <w:rFonts w:eastAsia="Times New Roman" w:cs="Times New Roman"/>
          <w:color w:val="000000"/>
          <w:szCs w:val="24"/>
        </w:rPr>
        <w:t xml:space="preserve">fill substantive and jurisdictional </w:t>
      </w:r>
      <w:r w:rsidR="00E03927">
        <w:rPr>
          <w:rFonts w:eastAsia="Times New Roman" w:cs="Times New Roman"/>
          <w:color w:val="000000"/>
          <w:szCs w:val="24"/>
        </w:rPr>
        <w:t xml:space="preserve">regulatory </w:t>
      </w:r>
      <w:r w:rsidR="006E7596" w:rsidRPr="006E7596">
        <w:rPr>
          <w:rFonts w:eastAsia="Times New Roman" w:cs="Times New Roman"/>
          <w:color w:val="000000"/>
          <w:szCs w:val="24"/>
        </w:rPr>
        <w:t>gaps as industries emerge</w:t>
      </w:r>
      <w:r w:rsidR="00E03927">
        <w:rPr>
          <w:rFonts w:eastAsia="Times New Roman" w:cs="Times New Roman"/>
          <w:color w:val="000000"/>
          <w:szCs w:val="24"/>
        </w:rPr>
        <w:t xml:space="preserve">; </w:t>
      </w:r>
      <w:r w:rsidR="006E7596" w:rsidRPr="006E7596">
        <w:rPr>
          <w:rFonts w:eastAsia="Times New Roman" w:cs="Times New Roman"/>
          <w:color w:val="000000"/>
          <w:szCs w:val="24"/>
        </w:rPr>
        <w:t>provide healthy competition among standards to produce effective and efficient standards</w:t>
      </w:r>
      <w:r w:rsidR="001C1C8B">
        <w:rPr>
          <w:rFonts w:eastAsia="Times New Roman" w:cs="Times New Roman"/>
          <w:color w:val="000000"/>
          <w:szCs w:val="24"/>
        </w:rPr>
        <w:t xml:space="preserve">; </w:t>
      </w:r>
      <w:r w:rsidR="006E7596" w:rsidRPr="006E7596">
        <w:rPr>
          <w:rFonts w:eastAsia="Times New Roman" w:cs="Times New Roman"/>
          <w:color w:val="000000"/>
          <w:szCs w:val="24"/>
        </w:rPr>
        <w:t xml:space="preserve">and </w:t>
      </w:r>
      <w:r w:rsidR="00453D1A">
        <w:rPr>
          <w:rFonts w:eastAsia="Times New Roman" w:cs="Times New Roman"/>
          <w:color w:val="000000"/>
          <w:szCs w:val="24"/>
        </w:rPr>
        <w:t xml:space="preserve">simultaneously </w:t>
      </w:r>
      <w:r w:rsidR="006E7596" w:rsidRPr="006E7596">
        <w:rPr>
          <w:rFonts w:eastAsia="Times New Roman" w:cs="Times New Roman"/>
          <w:color w:val="000000"/>
          <w:szCs w:val="24"/>
        </w:rPr>
        <w:t xml:space="preserve">produce standards within multiple components of </w:t>
      </w:r>
      <w:r w:rsidR="001C1C8B">
        <w:rPr>
          <w:rFonts w:eastAsia="Times New Roman" w:cs="Times New Roman"/>
          <w:color w:val="000000"/>
          <w:szCs w:val="24"/>
        </w:rPr>
        <w:t>a networked</w:t>
      </w:r>
      <w:r w:rsidR="006E7596" w:rsidRPr="006E7596">
        <w:rPr>
          <w:rFonts w:eastAsia="Times New Roman" w:cs="Times New Roman"/>
          <w:color w:val="000000"/>
          <w:szCs w:val="24"/>
        </w:rPr>
        <w:t xml:space="preserve">. </w:t>
      </w:r>
      <w:r>
        <w:rPr>
          <w:rFonts w:eastAsia="Times New Roman" w:cs="Times New Roman"/>
          <w:color w:val="000000"/>
          <w:szCs w:val="24"/>
        </w:rPr>
        <w:t xml:space="preserve">We also show that the best </w:t>
      </w:r>
      <w:r w:rsidR="006E7596" w:rsidRPr="006E7596">
        <w:rPr>
          <w:rFonts w:eastAsia="Times New Roman" w:cs="Times New Roman"/>
          <w:color w:val="000000"/>
          <w:szCs w:val="24"/>
        </w:rPr>
        <w:t>self-regulat</w:t>
      </w:r>
      <w:r>
        <w:rPr>
          <w:rFonts w:eastAsia="Times New Roman" w:cs="Times New Roman"/>
          <w:color w:val="000000"/>
          <w:szCs w:val="24"/>
        </w:rPr>
        <w:t xml:space="preserve">ory regimes </w:t>
      </w:r>
      <w:r w:rsidR="007A506E">
        <w:rPr>
          <w:rFonts w:eastAsia="Times New Roman" w:cs="Times New Roman"/>
          <w:color w:val="000000"/>
          <w:szCs w:val="24"/>
        </w:rPr>
        <w:t>are</w:t>
      </w:r>
      <w:r>
        <w:rPr>
          <w:rFonts w:eastAsia="Times New Roman" w:cs="Times New Roman"/>
          <w:color w:val="000000"/>
          <w:szCs w:val="24"/>
        </w:rPr>
        <w:t xml:space="preserve"> complemented by public governance, </w:t>
      </w:r>
      <w:r w:rsidR="0003672B">
        <w:rPr>
          <w:rFonts w:eastAsia="Times New Roman" w:cs="Times New Roman"/>
          <w:color w:val="000000"/>
          <w:szCs w:val="24"/>
        </w:rPr>
        <w:t>since</w:t>
      </w:r>
      <w:r>
        <w:rPr>
          <w:rFonts w:eastAsia="Times New Roman" w:cs="Times New Roman"/>
          <w:color w:val="000000"/>
          <w:szCs w:val="24"/>
        </w:rPr>
        <w:t xml:space="preserve"> pure self-regulation ca</w:t>
      </w:r>
      <w:r w:rsidR="006E7596" w:rsidRPr="006E7596">
        <w:rPr>
          <w:rFonts w:eastAsia="Times New Roman" w:cs="Times New Roman"/>
          <w:color w:val="000000"/>
          <w:szCs w:val="24"/>
        </w:rPr>
        <w:t>n leave substantive gaps</w:t>
      </w:r>
      <w:r>
        <w:rPr>
          <w:rFonts w:eastAsia="Times New Roman" w:cs="Times New Roman"/>
          <w:color w:val="000000"/>
          <w:szCs w:val="24"/>
        </w:rPr>
        <w:t xml:space="preserve"> and pose</w:t>
      </w:r>
      <w:r w:rsidR="006E7596" w:rsidRPr="006E7596">
        <w:rPr>
          <w:rFonts w:eastAsia="Times New Roman" w:cs="Times New Roman"/>
          <w:color w:val="000000"/>
          <w:szCs w:val="24"/>
        </w:rPr>
        <w:t xml:space="preserve"> risks of capture and anti-competitive behavior</w:t>
      </w:r>
      <w:r w:rsidR="0003672B">
        <w:rPr>
          <w:rFonts w:eastAsia="Times New Roman" w:cs="Times New Roman"/>
          <w:color w:val="000000"/>
          <w:szCs w:val="24"/>
        </w:rPr>
        <w:t xml:space="preserve"> that can lead to more heavy-handed </w:t>
      </w:r>
      <w:r w:rsidR="00BA4FA5">
        <w:rPr>
          <w:rFonts w:eastAsia="Times New Roman" w:cs="Times New Roman"/>
          <w:color w:val="000000"/>
          <w:szCs w:val="24"/>
        </w:rPr>
        <w:t>public regulation or reputational crises</w:t>
      </w:r>
      <w:r w:rsidR="006E7596" w:rsidRPr="006E7596">
        <w:rPr>
          <w:rFonts w:eastAsia="Times New Roman" w:cs="Times New Roman"/>
          <w:color w:val="000000"/>
          <w:szCs w:val="24"/>
        </w:rPr>
        <w:t>.</w:t>
      </w:r>
      <w:r>
        <w:rPr>
          <w:rFonts w:eastAsia="Times New Roman" w:cs="Times New Roman"/>
          <w:color w:val="000000"/>
          <w:szCs w:val="24"/>
        </w:rPr>
        <w:t xml:space="preserve"> Overall, our research draws attention to the need for careful coordination of a public-private standards strategy for the many industries we will need to solve many of the world’s problems.</w:t>
      </w:r>
    </w:p>
    <w:p w14:paraId="39793D99" w14:textId="7B3CF5AA" w:rsidR="00947ECC" w:rsidRDefault="00947ECC" w:rsidP="00924635">
      <w:pPr>
        <w:spacing w:after="0" w:line="240" w:lineRule="auto"/>
        <w:jc w:val="both"/>
        <w:rPr>
          <w:rFonts w:eastAsia="Times New Roman" w:cs="Times New Roman"/>
          <w:color w:val="000000"/>
          <w:szCs w:val="24"/>
        </w:rPr>
      </w:pPr>
    </w:p>
    <w:sdt>
      <w:sdtPr>
        <w:rPr>
          <w:rFonts w:ascii="Times New Roman" w:eastAsiaTheme="minorHAnsi" w:hAnsi="Times New Roman" w:cstheme="minorBidi"/>
          <w:color w:val="auto"/>
          <w:sz w:val="24"/>
          <w:szCs w:val="22"/>
        </w:rPr>
        <w:id w:val="-2141097986"/>
        <w:docPartObj>
          <w:docPartGallery w:val="Table of Contents"/>
          <w:docPartUnique/>
        </w:docPartObj>
      </w:sdtPr>
      <w:sdtEndPr>
        <w:rPr>
          <w:b/>
          <w:bCs/>
          <w:noProof/>
        </w:rPr>
      </w:sdtEndPr>
      <w:sdtContent>
        <w:p w14:paraId="2586C982" w14:textId="26FA8178" w:rsidR="007007E2" w:rsidRDefault="007007E2" w:rsidP="007007E2">
          <w:pPr>
            <w:pStyle w:val="TOCHeading"/>
            <w:jc w:val="center"/>
            <w:rPr>
              <w:rFonts w:ascii="Times New Roman" w:hAnsi="Times New Roman" w:cs="Times New Roman"/>
              <w:b/>
              <w:bCs/>
              <w:color w:val="auto"/>
              <w:sz w:val="24"/>
              <w:szCs w:val="24"/>
            </w:rPr>
          </w:pPr>
          <w:r w:rsidRPr="007007E2">
            <w:rPr>
              <w:rFonts w:ascii="Times New Roman" w:hAnsi="Times New Roman" w:cs="Times New Roman"/>
              <w:b/>
              <w:bCs/>
              <w:color w:val="auto"/>
              <w:sz w:val="24"/>
              <w:szCs w:val="24"/>
            </w:rPr>
            <w:t>Table of Contents</w:t>
          </w:r>
        </w:p>
        <w:p w14:paraId="73459DC0" w14:textId="77777777" w:rsidR="007007E2" w:rsidRPr="007007E2" w:rsidRDefault="007007E2" w:rsidP="007007E2"/>
        <w:p w14:paraId="09D88F9A" w14:textId="6C4DBDC0" w:rsidR="00BE4144" w:rsidRDefault="007007E2">
          <w:pPr>
            <w:pStyle w:val="TOC1"/>
            <w:tabs>
              <w:tab w:val="right" w:leader="dot" w:pos="7334"/>
            </w:tabs>
            <w:rPr>
              <w:rFonts w:asciiTheme="minorHAnsi" w:eastAsiaTheme="minorEastAsia" w:hAnsiTheme="minorHAnsi"/>
              <w:noProof/>
              <w:kern w:val="2"/>
              <w:sz w:val="22"/>
              <w14:ligatures w14:val="standardContextual"/>
            </w:rPr>
          </w:pPr>
          <w:r>
            <w:fldChar w:fldCharType="begin"/>
          </w:r>
          <w:r>
            <w:instrText xml:space="preserve"> TOC \o "1-3" \h \z \u </w:instrText>
          </w:r>
          <w:r>
            <w:fldChar w:fldCharType="separate"/>
          </w:r>
          <w:hyperlink w:anchor="_Toc141791871" w:history="1">
            <w:r w:rsidR="00BE4144" w:rsidRPr="00A35F63">
              <w:rPr>
                <w:rStyle w:val="Hyperlink"/>
                <w:rFonts w:eastAsia="Times New Roman"/>
                <w:smallCaps/>
                <w:noProof/>
              </w:rPr>
              <w:t>Introduction</w:t>
            </w:r>
            <w:r w:rsidR="00BE4144">
              <w:rPr>
                <w:noProof/>
                <w:webHidden/>
              </w:rPr>
              <w:tab/>
            </w:r>
            <w:r w:rsidR="00BE4144">
              <w:rPr>
                <w:noProof/>
                <w:webHidden/>
              </w:rPr>
              <w:fldChar w:fldCharType="begin"/>
            </w:r>
            <w:r w:rsidR="00BE4144">
              <w:rPr>
                <w:noProof/>
                <w:webHidden/>
              </w:rPr>
              <w:instrText xml:space="preserve"> PAGEREF _Toc141791871 \h </w:instrText>
            </w:r>
            <w:r w:rsidR="00BE4144">
              <w:rPr>
                <w:noProof/>
                <w:webHidden/>
              </w:rPr>
            </w:r>
            <w:r w:rsidR="00BE4144">
              <w:rPr>
                <w:noProof/>
                <w:webHidden/>
              </w:rPr>
              <w:fldChar w:fldCharType="separate"/>
            </w:r>
            <w:r w:rsidR="00BE4144">
              <w:rPr>
                <w:noProof/>
                <w:webHidden/>
              </w:rPr>
              <w:t>2</w:t>
            </w:r>
            <w:r w:rsidR="00BE4144">
              <w:rPr>
                <w:noProof/>
                <w:webHidden/>
              </w:rPr>
              <w:fldChar w:fldCharType="end"/>
            </w:r>
          </w:hyperlink>
        </w:p>
        <w:p w14:paraId="5409B360" w14:textId="0445386C" w:rsidR="00BE4144" w:rsidRDefault="00403D85">
          <w:pPr>
            <w:pStyle w:val="TOC2"/>
            <w:rPr>
              <w:rFonts w:asciiTheme="minorHAnsi" w:eastAsiaTheme="minorEastAsia" w:hAnsiTheme="minorHAnsi"/>
              <w:noProof/>
              <w:kern w:val="2"/>
              <w:sz w:val="22"/>
              <w14:ligatures w14:val="standardContextual"/>
            </w:rPr>
          </w:pPr>
          <w:hyperlink w:anchor="_Toc141791872" w:history="1">
            <w:r w:rsidR="00BE4144" w:rsidRPr="00A35F63">
              <w:rPr>
                <w:rStyle w:val="Hyperlink"/>
                <w:rFonts w:eastAsia="Times New Roman" w:cs="Times New Roman"/>
                <w:bCs/>
                <w:noProof/>
              </w:rPr>
              <w:t>I.</w:t>
            </w:r>
            <w:r w:rsidR="00BE4144">
              <w:rPr>
                <w:rFonts w:asciiTheme="minorHAnsi" w:eastAsiaTheme="minorEastAsia" w:hAnsiTheme="minorHAnsi"/>
                <w:noProof/>
                <w:kern w:val="2"/>
                <w:sz w:val="22"/>
                <w14:ligatures w14:val="standardContextual"/>
              </w:rPr>
              <w:tab/>
            </w:r>
            <w:r w:rsidR="00BE4144" w:rsidRPr="00A35F63">
              <w:rPr>
                <w:rStyle w:val="Hyperlink"/>
                <w:rFonts w:eastAsia="Times New Roman"/>
                <w:bCs/>
                <w:noProof/>
              </w:rPr>
              <w:t>The Role of Self-Regulation in the United States</w:t>
            </w:r>
            <w:r w:rsidR="00BE4144">
              <w:rPr>
                <w:noProof/>
                <w:webHidden/>
              </w:rPr>
              <w:tab/>
            </w:r>
            <w:r w:rsidR="00BE4144">
              <w:rPr>
                <w:noProof/>
                <w:webHidden/>
              </w:rPr>
              <w:fldChar w:fldCharType="begin"/>
            </w:r>
            <w:r w:rsidR="00BE4144">
              <w:rPr>
                <w:noProof/>
                <w:webHidden/>
              </w:rPr>
              <w:instrText xml:space="preserve"> PAGEREF _Toc141791872 \h </w:instrText>
            </w:r>
            <w:r w:rsidR="00BE4144">
              <w:rPr>
                <w:noProof/>
                <w:webHidden/>
              </w:rPr>
            </w:r>
            <w:r w:rsidR="00BE4144">
              <w:rPr>
                <w:noProof/>
                <w:webHidden/>
              </w:rPr>
              <w:fldChar w:fldCharType="separate"/>
            </w:r>
            <w:r w:rsidR="00BE4144">
              <w:rPr>
                <w:noProof/>
                <w:webHidden/>
              </w:rPr>
              <w:t>6</w:t>
            </w:r>
            <w:r w:rsidR="00BE4144">
              <w:rPr>
                <w:noProof/>
                <w:webHidden/>
              </w:rPr>
              <w:fldChar w:fldCharType="end"/>
            </w:r>
          </w:hyperlink>
        </w:p>
        <w:p w14:paraId="13335F11" w14:textId="6A197014" w:rsidR="00BE4144" w:rsidRDefault="00403D85">
          <w:pPr>
            <w:pStyle w:val="TOC2"/>
            <w:rPr>
              <w:rFonts w:asciiTheme="minorHAnsi" w:eastAsiaTheme="minorEastAsia" w:hAnsiTheme="minorHAnsi"/>
              <w:noProof/>
              <w:kern w:val="2"/>
              <w:sz w:val="22"/>
              <w14:ligatures w14:val="standardContextual"/>
            </w:rPr>
          </w:pPr>
          <w:hyperlink w:anchor="_Toc141791873" w:history="1">
            <w:r w:rsidR="00BE4144" w:rsidRPr="00A35F63">
              <w:rPr>
                <w:rStyle w:val="Hyperlink"/>
                <w:rFonts w:eastAsia="Times New Roman" w:cs="Times New Roman"/>
                <w:noProof/>
              </w:rPr>
              <w:t>II.</w:t>
            </w:r>
            <w:r w:rsidR="00BE4144">
              <w:rPr>
                <w:rFonts w:asciiTheme="minorHAnsi" w:eastAsiaTheme="minorEastAsia" w:hAnsiTheme="minorHAnsi"/>
                <w:noProof/>
                <w:kern w:val="2"/>
                <w:sz w:val="22"/>
                <w14:ligatures w14:val="standardContextual"/>
              </w:rPr>
              <w:tab/>
            </w:r>
            <w:r w:rsidR="00BE4144" w:rsidRPr="00A35F63">
              <w:rPr>
                <w:rStyle w:val="Hyperlink"/>
                <w:rFonts w:eastAsia="Times New Roman"/>
                <w:noProof/>
              </w:rPr>
              <w:t>Self-Regulation in Emerging Industries</w:t>
            </w:r>
            <w:r w:rsidR="00BE4144">
              <w:rPr>
                <w:noProof/>
                <w:webHidden/>
              </w:rPr>
              <w:tab/>
            </w:r>
            <w:r w:rsidR="00BE4144">
              <w:rPr>
                <w:noProof/>
                <w:webHidden/>
              </w:rPr>
              <w:fldChar w:fldCharType="begin"/>
            </w:r>
            <w:r w:rsidR="00BE4144">
              <w:rPr>
                <w:noProof/>
                <w:webHidden/>
              </w:rPr>
              <w:instrText xml:space="preserve"> PAGEREF _Toc141791873 \h </w:instrText>
            </w:r>
            <w:r w:rsidR="00BE4144">
              <w:rPr>
                <w:noProof/>
                <w:webHidden/>
              </w:rPr>
            </w:r>
            <w:r w:rsidR="00BE4144">
              <w:rPr>
                <w:noProof/>
                <w:webHidden/>
              </w:rPr>
              <w:fldChar w:fldCharType="separate"/>
            </w:r>
            <w:r w:rsidR="00BE4144">
              <w:rPr>
                <w:noProof/>
                <w:webHidden/>
              </w:rPr>
              <w:t>10</w:t>
            </w:r>
            <w:r w:rsidR="00BE4144">
              <w:rPr>
                <w:noProof/>
                <w:webHidden/>
              </w:rPr>
              <w:fldChar w:fldCharType="end"/>
            </w:r>
          </w:hyperlink>
        </w:p>
        <w:p w14:paraId="34D2C5F3" w14:textId="0E5BCBED" w:rsidR="00BE4144" w:rsidRDefault="00403D85">
          <w:pPr>
            <w:pStyle w:val="TOC3"/>
            <w:tabs>
              <w:tab w:val="left" w:pos="1100"/>
              <w:tab w:val="right" w:leader="dot" w:pos="7334"/>
            </w:tabs>
            <w:rPr>
              <w:rFonts w:asciiTheme="minorHAnsi" w:eastAsiaTheme="minorEastAsia" w:hAnsiTheme="minorHAnsi"/>
              <w:noProof/>
              <w:kern w:val="2"/>
              <w:sz w:val="22"/>
              <w14:ligatures w14:val="standardContextual"/>
            </w:rPr>
          </w:pPr>
          <w:hyperlink w:anchor="_Toc141791874" w:history="1">
            <w:r w:rsidR="00BE4144" w:rsidRPr="00A35F63">
              <w:rPr>
                <w:rStyle w:val="Hyperlink"/>
                <w:rFonts w:eastAsia="Times New Roman"/>
                <w:noProof/>
              </w:rPr>
              <w:t xml:space="preserve">A. </w:t>
            </w:r>
            <w:r w:rsidR="00BE4144">
              <w:rPr>
                <w:rFonts w:asciiTheme="minorHAnsi" w:eastAsiaTheme="minorEastAsia" w:hAnsiTheme="minorHAnsi"/>
                <w:noProof/>
                <w:kern w:val="2"/>
                <w:sz w:val="22"/>
                <w14:ligatures w14:val="standardContextual"/>
              </w:rPr>
              <w:tab/>
            </w:r>
            <w:r w:rsidR="00BE4144" w:rsidRPr="00A35F63">
              <w:rPr>
                <w:rStyle w:val="Hyperlink"/>
                <w:rFonts w:eastAsia="Times New Roman"/>
                <w:noProof/>
              </w:rPr>
              <w:t>General Factors that Support Successful Self-Regulatory Regimes</w:t>
            </w:r>
            <w:r w:rsidR="00BE4144">
              <w:rPr>
                <w:noProof/>
                <w:webHidden/>
              </w:rPr>
              <w:tab/>
            </w:r>
            <w:r w:rsidR="00BE4144">
              <w:rPr>
                <w:noProof/>
                <w:webHidden/>
              </w:rPr>
              <w:fldChar w:fldCharType="begin"/>
            </w:r>
            <w:r w:rsidR="00BE4144">
              <w:rPr>
                <w:noProof/>
                <w:webHidden/>
              </w:rPr>
              <w:instrText xml:space="preserve"> PAGEREF _Toc141791874 \h </w:instrText>
            </w:r>
            <w:r w:rsidR="00BE4144">
              <w:rPr>
                <w:noProof/>
                <w:webHidden/>
              </w:rPr>
            </w:r>
            <w:r w:rsidR="00BE4144">
              <w:rPr>
                <w:noProof/>
                <w:webHidden/>
              </w:rPr>
              <w:fldChar w:fldCharType="separate"/>
            </w:r>
            <w:r w:rsidR="00BE4144">
              <w:rPr>
                <w:noProof/>
                <w:webHidden/>
              </w:rPr>
              <w:t>10</w:t>
            </w:r>
            <w:r w:rsidR="00BE4144">
              <w:rPr>
                <w:noProof/>
                <w:webHidden/>
              </w:rPr>
              <w:fldChar w:fldCharType="end"/>
            </w:r>
          </w:hyperlink>
        </w:p>
        <w:p w14:paraId="1500CCA7" w14:textId="11E38383" w:rsidR="00BE4144" w:rsidRDefault="00403D85">
          <w:pPr>
            <w:pStyle w:val="TOC3"/>
            <w:tabs>
              <w:tab w:val="left" w:pos="1100"/>
              <w:tab w:val="right" w:leader="dot" w:pos="7334"/>
            </w:tabs>
            <w:rPr>
              <w:rFonts w:asciiTheme="minorHAnsi" w:eastAsiaTheme="minorEastAsia" w:hAnsiTheme="minorHAnsi"/>
              <w:noProof/>
              <w:kern w:val="2"/>
              <w:sz w:val="22"/>
              <w14:ligatures w14:val="standardContextual"/>
            </w:rPr>
          </w:pPr>
          <w:hyperlink w:anchor="_Toc141791875" w:history="1">
            <w:r w:rsidR="00BE4144" w:rsidRPr="00A35F63">
              <w:rPr>
                <w:rStyle w:val="Hyperlink"/>
                <w:rFonts w:eastAsia="Times New Roman"/>
                <w:noProof/>
              </w:rPr>
              <w:t>B.</w:t>
            </w:r>
            <w:r w:rsidR="00BE4144">
              <w:rPr>
                <w:rFonts w:asciiTheme="minorHAnsi" w:eastAsiaTheme="minorEastAsia" w:hAnsiTheme="minorHAnsi"/>
                <w:noProof/>
                <w:kern w:val="2"/>
                <w:sz w:val="22"/>
                <w14:ligatures w14:val="standardContextual"/>
              </w:rPr>
              <w:tab/>
            </w:r>
            <w:r w:rsidR="00BE4144" w:rsidRPr="00A35F63">
              <w:rPr>
                <w:rStyle w:val="Hyperlink"/>
                <w:rFonts w:eastAsia="Times New Roman"/>
                <w:noProof/>
              </w:rPr>
              <w:t>The Distinctive Opportunities and Challenges of Self-Regulation in Emerging Industries</w:t>
            </w:r>
            <w:r w:rsidR="00BE4144">
              <w:rPr>
                <w:noProof/>
                <w:webHidden/>
              </w:rPr>
              <w:tab/>
            </w:r>
            <w:r w:rsidR="00BE4144">
              <w:rPr>
                <w:noProof/>
                <w:webHidden/>
              </w:rPr>
              <w:fldChar w:fldCharType="begin"/>
            </w:r>
            <w:r w:rsidR="00BE4144">
              <w:rPr>
                <w:noProof/>
                <w:webHidden/>
              </w:rPr>
              <w:instrText xml:space="preserve"> PAGEREF _Toc141791875 \h </w:instrText>
            </w:r>
            <w:r w:rsidR="00BE4144">
              <w:rPr>
                <w:noProof/>
                <w:webHidden/>
              </w:rPr>
            </w:r>
            <w:r w:rsidR="00BE4144">
              <w:rPr>
                <w:noProof/>
                <w:webHidden/>
              </w:rPr>
              <w:fldChar w:fldCharType="separate"/>
            </w:r>
            <w:r w:rsidR="00BE4144">
              <w:rPr>
                <w:noProof/>
                <w:webHidden/>
              </w:rPr>
              <w:t>13</w:t>
            </w:r>
            <w:r w:rsidR="00BE4144">
              <w:rPr>
                <w:noProof/>
                <w:webHidden/>
              </w:rPr>
              <w:fldChar w:fldCharType="end"/>
            </w:r>
          </w:hyperlink>
        </w:p>
        <w:p w14:paraId="5AB7E02F" w14:textId="65BBAC28" w:rsidR="00BE4144" w:rsidRDefault="00403D85">
          <w:pPr>
            <w:pStyle w:val="TOC3"/>
            <w:tabs>
              <w:tab w:val="left" w:pos="1100"/>
              <w:tab w:val="right" w:leader="dot" w:pos="7334"/>
            </w:tabs>
            <w:rPr>
              <w:rFonts w:asciiTheme="minorHAnsi" w:eastAsiaTheme="minorEastAsia" w:hAnsiTheme="minorHAnsi"/>
              <w:noProof/>
              <w:kern w:val="2"/>
              <w:sz w:val="22"/>
              <w14:ligatures w14:val="standardContextual"/>
            </w:rPr>
          </w:pPr>
          <w:hyperlink w:anchor="_Toc141791876" w:history="1">
            <w:r w:rsidR="00BE4144" w:rsidRPr="00A35F63">
              <w:rPr>
                <w:rStyle w:val="Hyperlink"/>
                <w:rFonts w:eastAsia="Times New Roman"/>
                <w:noProof/>
                <w:shd w:val="clear" w:color="auto" w:fill="FFFFFF"/>
              </w:rPr>
              <w:t xml:space="preserve">C. </w:t>
            </w:r>
            <w:r w:rsidR="00BE4144">
              <w:rPr>
                <w:rFonts w:asciiTheme="minorHAnsi" w:eastAsiaTheme="minorEastAsia" w:hAnsiTheme="minorHAnsi"/>
                <w:noProof/>
                <w:kern w:val="2"/>
                <w:sz w:val="22"/>
                <w14:ligatures w14:val="standardContextual"/>
              </w:rPr>
              <w:tab/>
            </w:r>
            <w:r w:rsidR="00BE4144" w:rsidRPr="00A35F63">
              <w:rPr>
                <w:rStyle w:val="Hyperlink"/>
                <w:rFonts w:eastAsia="Times New Roman"/>
                <w:noProof/>
                <w:shd w:val="clear" w:color="auto" w:fill="FFFFFF"/>
              </w:rPr>
              <w:t>Simultaneous Production of Standards to Address Coordination Challenges</w:t>
            </w:r>
            <w:r w:rsidR="00BE4144">
              <w:rPr>
                <w:noProof/>
                <w:webHidden/>
              </w:rPr>
              <w:tab/>
            </w:r>
            <w:r w:rsidR="00BE4144">
              <w:rPr>
                <w:noProof/>
                <w:webHidden/>
              </w:rPr>
              <w:fldChar w:fldCharType="begin"/>
            </w:r>
            <w:r w:rsidR="00BE4144">
              <w:rPr>
                <w:noProof/>
                <w:webHidden/>
              </w:rPr>
              <w:instrText xml:space="preserve"> PAGEREF _Toc141791876 \h </w:instrText>
            </w:r>
            <w:r w:rsidR="00BE4144">
              <w:rPr>
                <w:noProof/>
                <w:webHidden/>
              </w:rPr>
            </w:r>
            <w:r w:rsidR="00BE4144">
              <w:rPr>
                <w:noProof/>
                <w:webHidden/>
              </w:rPr>
              <w:fldChar w:fldCharType="separate"/>
            </w:r>
            <w:r w:rsidR="00BE4144">
              <w:rPr>
                <w:noProof/>
                <w:webHidden/>
              </w:rPr>
              <w:t>22</w:t>
            </w:r>
            <w:r w:rsidR="00BE4144">
              <w:rPr>
                <w:noProof/>
                <w:webHidden/>
              </w:rPr>
              <w:fldChar w:fldCharType="end"/>
            </w:r>
          </w:hyperlink>
        </w:p>
        <w:p w14:paraId="5B2049C8" w14:textId="6363962D" w:rsidR="00BE4144" w:rsidRDefault="00403D85">
          <w:pPr>
            <w:pStyle w:val="TOC2"/>
            <w:rPr>
              <w:rFonts w:asciiTheme="minorHAnsi" w:eastAsiaTheme="minorEastAsia" w:hAnsiTheme="minorHAnsi"/>
              <w:noProof/>
              <w:kern w:val="2"/>
              <w:sz w:val="22"/>
              <w14:ligatures w14:val="standardContextual"/>
            </w:rPr>
          </w:pPr>
          <w:hyperlink w:anchor="_Toc141791877" w:history="1">
            <w:r w:rsidR="00BE4144" w:rsidRPr="00A35F63">
              <w:rPr>
                <w:rStyle w:val="Hyperlink"/>
                <w:rFonts w:eastAsia="Times New Roman" w:cs="Times New Roman"/>
                <w:noProof/>
              </w:rPr>
              <w:t>III.</w:t>
            </w:r>
            <w:r w:rsidR="00BE4144">
              <w:rPr>
                <w:rFonts w:asciiTheme="minorHAnsi" w:eastAsiaTheme="minorEastAsia" w:hAnsiTheme="minorHAnsi"/>
                <w:noProof/>
                <w:kern w:val="2"/>
                <w:sz w:val="22"/>
                <w14:ligatures w14:val="standardContextual"/>
              </w:rPr>
              <w:tab/>
            </w:r>
            <w:r w:rsidR="00BE4144" w:rsidRPr="00A35F63">
              <w:rPr>
                <w:rStyle w:val="Hyperlink"/>
                <w:rFonts w:eastAsia="Times New Roman"/>
                <w:noProof/>
              </w:rPr>
              <w:t>Self-Regulation of Nascent Networked Industries and Services</w:t>
            </w:r>
            <w:r w:rsidR="00BE4144">
              <w:rPr>
                <w:noProof/>
                <w:webHidden/>
              </w:rPr>
              <w:tab/>
            </w:r>
            <w:r w:rsidR="00BE4144">
              <w:rPr>
                <w:noProof/>
                <w:webHidden/>
              </w:rPr>
              <w:fldChar w:fldCharType="begin"/>
            </w:r>
            <w:r w:rsidR="00BE4144">
              <w:rPr>
                <w:noProof/>
                <w:webHidden/>
              </w:rPr>
              <w:instrText xml:space="preserve"> PAGEREF _Toc141791877 \h </w:instrText>
            </w:r>
            <w:r w:rsidR="00BE4144">
              <w:rPr>
                <w:noProof/>
                <w:webHidden/>
              </w:rPr>
            </w:r>
            <w:r w:rsidR="00BE4144">
              <w:rPr>
                <w:noProof/>
                <w:webHidden/>
              </w:rPr>
              <w:fldChar w:fldCharType="separate"/>
            </w:r>
            <w:r w:rsidR="00BE4144">
              <w:rPr>
                <w:noProof/>
                <w:webHidden/>
              </w:rPr>
              <w:t>26</w:t>
            </w:r>
            <w:r w:rsidR="00BE4144">
              <w:rPr>
                <w:noProof/>
                <w:webHidden/>
              </w:rPr>
              <w:fldChar w:fldCharType="end"/>
            </w:r>
          </w:hyperlink>
        </w:p>
        <w:p w14:paraId="00BB6E47" w14:textId="51D1EB06" w:rsidR="00BE4144" w:rsidRDefault="00403D85">
          <w:pPr>
            <w:pStyle w:val="TOC3"/>
            <w:tabs>
              <w:tab w:val="left" w:pos="1100"/>
              <w:tab w:val="right" w:leader="dot" w:pos="7334"/>
            </w:tabs>
            <w:rPr>
              <w:rFonts w:asciiTheme="minorHAnsi" w:eastAsiaTheme="minorEastAsia" w:hAnsiTheme="minorHAnsi"/>
              <w:noProof/>
              <w:kern w:val="2"/>
              <w:sz w:val="22"/>
              <w14:ligatures w14:val="standardContextual"/>
            </w:rPr>
          </w:pPr>
          <w:hyperlink w:anchor="_Toc141791878" w:history="1">
            <w:r w:rsidR="00BE4144" w:rsidRPr="00A35F63">
              <w:rPr>
                <w:rStyle w:val="Hyperlink"/>
                <w:rFonts w:eastAsia="Times New Roman"/>
                <w:noProof/>
              </w:rPr>
              <w:t xml:space="preserve">A. </w:t>
            </w:r>
            <w:r w:rsidR="00BE4144">
              <w:rPr>
                <w:rFonts w:asciiTheme="minorHAnsi" w:eastAsiaTheme="minorEastAsia" w:hAnsiTheme="minorHAnsi"/>
                <w:noProof/>
                <w:kern w:val="2"/>
                <w:sz w:val="22"/>
                <w14:ligatures w14:val="standardContextual"/>
              </w:rPr>
              <w:tab/>
            </w:r>
            <w:r w:rsidR="00BE4144" w:rsidRPr="00A35F63">
              <w:rPr>
                <w:rStyle w:val="Hyperlink"/>
                <w:rFonts w:eastAsia="Times New Roman"/>
                <w:noProof/>
              </w:rPr>
              <w:t>Hydrogen as a Textbook Case of Growth Through Self-Regulatory Support</w:t>
            </w:r>
            <w:r w:rsidR="00BE4144">
              <w:rPr>
                <w:noProof/>
                <w:webHidden/>
              </w:rPr>
              <w:tab/>
            </w:r>
            <w:r w:rsidR="00BE4144">
              <w:rPr>
                <w:noProof/>
                <w:webHidden/>
              </w:rPr>
              <w:fldChar w:fldCharType="begin"/>
            </w:r>
            <w:r w:rsidR="00BE4144">
              <w:rPr>
                <w:noProof/>
                <w:webHidden/>
              </w:rPr>
              <w:instrText xml:space="preserve"> PAGEREF _Toc141791878 \h </w:instrText>
            </w:r>
            <w:r w:rsidR="00BE4144">
              <w:rPr>
                <w:noProof/>
                <w:webHidden/>
              </w:rPr>
            </w:r>
            <w:r w:rsidR="00BE4144">
              <w:rPr>
                <w:noProof/>
                <w:webHidden/>
              </w:rPr>
              <w:fldChar w:fldCharType="separate"/>
            </w:r>
            <w:r w:rsidR="00BE4144">
              <w:rPr>
                <w:noProof/>
                <w:webHidden/>
              </w:rPr>
              <w:t>27</w:t>
            </w:r>
            <w:r w:rsidR="00BE4144">
              <w:rPr>
                <w:noProof/>
                <w:webHidden/>
              </w:rPr>
              <w:fldChar w:fldCharType="end"/>
            </w:r>
          </w:hyperlink>
        </w:p>
        <w:p w14:paraId="31824D7F" w14:textId="3ADAF70F" w:rsidR="00BE4144" w:rsidRDefault="00403D85">
          <w:pPr>
            <w:pStyle w:val="TOC3"/>
            <w:tabs>
              <w:tab w:val="left" w:pos="1100"/>
              <w:tab w:val="right" w:leader="dot" w:pos="7334"/>
            </w:tabs>
            <w:rPr>
              <w:rFonts w:asciiTheme="minorHAnsi" w:eastAsiaTheme="minorEastAsia" w:hAnsiTheme="minorHAnsi"/>
              <w:noProof/>
              <w:kern w:val="2"/>
              <w:sz w:val="22"/>
              <w14:ligatures w14:val="standardContextual"/>
            </w:rPr>
          </w:pPr>
          <w:hyperlink w:anchor="_Toc141791879" w:history="1">
            <w:r w:rsidR="00BE4144" w:rsidRPr="00A35F63">
              <w:rPr>
                <w:rStyle w:val="Hyperlink"/>
                <w:rFonts w:eastAsia="Times New Roman"/>
                <w:noProof/>
              </w:rPr>
              <w:t xml:space="preserve">B. </w:t>
            </w:r>
            <w:r w:rsidR="00BE4144">
              <w:rPr>
                <w:rFonts w:asciiTheme="minorHAnsi" w:eastAsiaTheme="minorEastAsia" w:hAnsiTheme="minorHAnsi"/>
                <w:noProof/>
                <w:kern w:val="2"/>
                <w:sz w:val="22"/>
                <w14:ligatures w14:val="standardContextual"/>
              </w:rPr>
              <w:tab/>
            </w:r>
            <w:r w:rsidR="00BE4144" w:rsidRPr="00A35F63">
              <w:rPr>
                <w:rStyle w:val="Hyperlink"/>
                <w:rFonts w:eastAsia="Times New Roman"/>
                <w:noProof/>
              </w:rPr>
              <w:t>Self-Regulation and Public Governance in the Growth of the Internet</w:t>
            </w:r>
            <w:r w:rsidR="00BE4144">
              <w:rPr>
                <w:noProof/>
                <w:webHidden/>
              </w:rPr>
              <w:tab/>
            </w:r>
            <w:r w:rsidR="00BE4144">
              <w:rPr>
                <w:noProof/>
                <w:webHidden/>
              </w:rPr>
              <w:fldChar w:fldCharType="begin"/>
            </w:r>
            <w:r w:rsidR="00BE4144">
              <w:rPr>
                <w:noProof/>
                <w:webHidden/>
              </w:rPr>
              <w:instrText xml:space="preserve"> PAGEREF _Toc141791879 \h </w:instrText>
            </w:r>
            <w:r w:rsidR="00BE4144">
              <w:rPr>
                <w:noProof/>
                <w:webHidden/>
              </w:rPr>
            </w:r>
            <w:r w:rsidR="00BE4144">
              <w:rPr>
                <w:noProof/>
                <w:webHidden/>
              </w:rPr>
              <w:fldChar w:fldCharType="separate"/>
            </w:r>
            <w:r w:rsidR="00BE4144">
              <w:rPr>
                <w:noProof/>
                <w:webHidden/>
              </w:rPr>
              <w:t>42</w:t>
            </w:r>
            <w:r w:rsidR="00BE4144">
              <w:rPr>
                <w:noProof/>
                <w:webHidden/>
              </w:rPr>
              <w:fldChar w:fldCharType="end"/>
            </w:r>
          </w:hyperlink>
        </w:p>
        <w:p w14:paraId="6EE3C159" w14:textId="3D7AB6B0" w:rsidR="00BE4144" w:rsidRDefault="00403D85">
          <w:pPr>
            <w:pStyle w:val="TOC3"/>
            <w:tabs>
              <w:tab w:val="right" w:leader="dot" w:pos="7334"/>
            </w:tabs>
            <w:rPr>
              <w:rFonts w:asciiTheme="minorHAnsi" w:eastAsiaTheme="minorEastAsia" w:hAnsiTheme="minorHAnsi"/>
              <w:noProof/>
              <w:kern w:val="2"/>
              <w:sz w:val="22"/>
              <w14:ligatures w14:val="standardContextual"/>
            </w:rPr>
          </w:pPr>
          <w:hyperlink w:anchor="_Toc141791880" w:history="1">
            <w:r w:rsidR="00BE4144" w:rsidRPr="00A35F63">
              <w:rPr>
                <w:rStyle w:val="Hyperlink"/>
                <w:rFonts w:eastAsia="Times New Roman"/>
                <w:noProof/>
              </w:rPr>
              <w:t>C. Artificial Intelligence at the Cusp of Standards Development and Coordination</w:t>
            </w:r>
            <w:r w:rsidR="00BE4144">
              <w:rPr>
                <w:noProof/>
                <w:webHidden/>
              </w:rPr>
              <w:tab/>
            </w:r>
            <w:r w:rsidR="00BE4144">
              <w:rPr>
                <w:noProof/>
                <w:webHidden/>
              </w:rPr>
              <w:fldChar w:fldCharType="begin"/>
            </w:r>
            <w:r w:rsidR="00BE4144">
              <w:rPr>
                <w:noProof/>
                <w:webHidden/>
              </w:rPr>
              <w:instrText xml:space="preserve"> PAGEREF _Toc141791880 \h </w:instrText>
            </w:r>
            <w:r w:rsidR="00BE4144">
              <w:rPr>
                <w:noProof/>
                <w:webHidden/>
              </w:rPr>
            </w:r>
            <w:r w:rsidR="00BE4144">
              <w:rPr>
                <w:noProof/>
                <w:webHidden/>
              </w:rPr>
              <w:fldChar w:fldCharType="separate"/>
            </w:r>
            <w:r w:rsidR="00BE4144">
              <w:rPr>
                <w:noProof/>
                <w:webHidden/>
              </w:rPr>
              <w:t>48</w:t>
            </w:r>
            <w:r w:rsidR="00BE4144">
              <w:rPr>
                <w:noProof/>
                <w:webHidden/>
              </w:rPr>
              <w:fldChar w:fldCharType="end"/>
            </w:r>
          </w:hyperlink>
        </w:p>
        <w:p w14:paraId="327D7239" w14:textId="0873C619" w:rsidR="00BE4144" w:rsidRDefault="00403D85">
          <w:pPr>
            <w:pStyle w:val="TOC2"/>
            <w:rPr>
              <w:rFonts w:asciiTheme="minorHAnsi" w:eastAsiaTheme="minorEastAsia" w:hAnsiTheme="minorHAnsi"/>
              <w:noProof/>
              <w:kern w:val="2"/>
              <w:sz w:val="22"/>
              <w14:ligatures w14:val="standardContextual"/>
            </w:rPr>
          </w:pPr>
          <w:hyperlink w:anchor="_Toc141791881" w:history="1">
            <w:r w:rsidR="00BE4144" w:rsidRPr="00A35F63">
              <w:rPr>
                <w:rStyle w:val="Hyperlink"/>
                <w:rFonts w:eastAsia="Times New Roman"/>
                <w:noProof/>
              </w:rPr>
              <w:t>IV. Lessons Learned</w:t>
            </w:r>
            <w:r w:rsidR="00BE4144">
              <w:rPr>
                <w:noProof/>
                <w:webHidden/>
              </w:rPr>
              <w:tab/>
            </w:r>
            <w:r w:rsidR="00BE4144">
              <w:rPr>
                <w:noProof/>
                <w:webHidden/>
              </w:rPr>
              <w:fldChar w:fldCharType="begin"/>
            </w:r>
            <w:r w:rsidR="00BE4144">
              <w:rPr>
                <w:noProof/>
                <w:webHidden/>
              </w:rPr>
              <w:instrText xml:space="preserve"> PAGEREF _Toc141791881 \h </w:instrText>
            </w:r>
            <w:r w:rsidR="00BE4144">
              <w:rPr>
                <w:noProof/>
                <w:webHidden/>
              </w:rPr>
            </w:r>
            <w:r w:rsidR="00BE4144">
              <w:rPr>
                <w:noProof/>
                <w:webHidden/>
              </w:rPr>
              <w:fldChar w:fldCharType="separate"/>
            </w:r>
            <w:r w:rsidR="00BE4144">
              <w:rPr>
                <w:noProof/>
                <w:webHidden/>
              </w:rPr>
              <w:t>54</w:t>
            </w:r>
            <w:r w:rsidR="00BE4144">
              <w:rPr>
                <w:noProof/>
                <w:webHidden/>
              </w:rPr>
              <w:fldChar w:fldCharType="end"/>
            </w:r>
          </w:hyperlink>
        </w:p>
        <w:p w14:paraId="1193D2BF" w14:textId="6C5D1A07" w:rsidR="00BE4144" w:rsidRDefault="00403D85">
          <w:pPr>
            <w:pStyle w:val="TOC1"/>
            <w:tabs>
              <w:tab w:val="right" w:leader="dot" w:pos="7334"/>
            </w:tabs>
            <w:rPr>
              <w:rFonts w:asciiTheme="minorHAnsi" w:eastAsiaTheme="minorEastAsia" w:hAnsiTheme="minorHAnsi"/>
              <w:noProof/>
              <w:kern w:val="2"/>
              <w:sz w:val="22"/>
              <w14:ligatures w14:val="standardContextual"/>
            </w:rPr>
          </w:pPr>
          <w:hyperlink w:anchor="_Toc141791882" w:history="1">
            <w:r w:rsidR="00BE4144" w:rsidRPr="00A35F63">
              <w:rPr>
                <w:rStyle w:val="Hyperlink"/>
                <w:rFonts w:eastAsia="Times New Roman"/>
                <w:smallCaps/>
                <w:noProof/>
              </w:rPr>
              <w:t>Conclusion</w:t>
            </w:r>
            <w:r w:rsidR="00BE4144">
              <w:rPr>
                <w:noProof/>
                <w:webHidden/>
              </w:rPr>
              <w:tab/>
            </w:r>
            <w:r w:rsidR="00BE4144">
              <w:rPr>
                <w:noProof/>
                <w:webHidden/>
              </w:rPr>
              <w:fldChar w:fldCharType="begin"/>
            </w:r>
            <w:r w:rsidR="00BE4144">
              <w:rPr>
                <w:noProof/>
                <w:webHidden/>
              </w:rPr>
              <w:instrText xml:space="preserve"> PAGEREF _Toc141791882 \h </w:instrText>
            </w:r>
            <w:r w:rsidR="00BE4144">
              <w:rPr>
                <w:noProof/>
                <w:webHidden/>
              </w:rPr>
            </w:r>
            <w:r w:rsidR="00BE4144">
              <w:rPr>
                <w:noProof/>
                <w:webHidden/>
              </w:rPr>
              <w:fldChar w:fldCharType="separate"/>
            </w:r>
            <w:r w:rsidR="00BE4144">
              <w:rPr>
                <w:noProof/>
                <w:webHidden/>
              </w:rPr>
              <w:t>57</w:t>
            </w:r>
            <w:r w:rsidR="00BE4144">
              <w:rPr>
                <w:noProof/>
                <w:webHidden/>
              </w:rPr>
              <w:fldChar w:fldCharType="end"/>
            </w:r>
          </w:hyperlink>
        </w:p>
        <w:p w14:paraId="3EED3C78" w14:textId="6F089B49" w:rsidR="007007E2" w:rsidRDefault="007007E2">
          <w:r>
            <w:rPr>
              <w:b/>
              <w:bCs/>
              <w:noProof/>
            </w:rPr>
            <w:fldChar w:fldCharType="end"/>
          </w:r>
        </w:p>
      </w:sdtContent>
    </w:sdt>
    <w:p w14:paraId="6CA967DA" w14:textId="77777777" w:rsidR="00947ECC" w:rsidRPr="009001DB" w:rsidRDefault="00947ECC" w:rsidP="00924635">
      <w:pPr>
        <w:spacing w:after="0" w:line="240" w:lineRule="auto"/>
        <w:jc w:val="both"/>
        <w:rPr>
          <w:rFonts w:eastAsia="Times New Roman" w:cs="Times New Roman"/>
          <w:color w:val="000000"/>
          <w:szCs w:val="24"/>
        </w:rPr>
      </w:pPr>
    </w:p>
    <w:p w14:paraId="2C078BCE" w14:textId="54A6FDF1" w:rsidR="00924635" w:rsidRPr="002710E4" w:rsidRDefault="00924635" w:rsidP="002710E4">
      <w:pPr>
        <w:pStyle w:val="Heading1"/>
        <w:rPr>
          <w:rFonts w:eastAsia="Times New Roman"/>
          <w:b w:val="0"/>
          <w:smallCaps/>
        </w:rPr>
      </w:pPr>
      <w:bookmarkStart w:id="0" w:name="_Toc141791871"/>
      <w:r w:rsidRPr="002710E4">
        <w:rPr>
          <w:rFonts w:eastAsia="Times New Roman"/>
          <w:b w:val="0"/>
          <w:smallCaps/>
        </w:rPr>
        <w:t>Introduction</w:t>
      </w:r>
      <w:bookmarkEnd w:id="0"/>
      <w:r w:rsidRPr="002710E4">
        <w:rPr>
          <w:rFonts w:eastAsia="Times New Roman"/>
          <w:b w:val="0"/>
          <w:smallCaps/>
        </w:rPr>
        <w:t> </w:t>
      </w:r>
    </w:p>
    <w:p w14:paraId="388B3AF9" w14:textId="77777777" w:rsidR="00924635" w:rsidRPr="00EC79E0" w:rsidRDefault="00924635" w:rsidP="00924635">
      <w:pPr>
        <w:spacing w:after="0" w:line="240" w:lineRule="auto"/>
        <w:rPr>
          <w:rFonts w:eastAsia="Times New Roman" w:cs="Times New Roman"/>
          <w:szCs w:val="24"/>
        </w:rPr>
      </w:pPr>
    </w:p>
    <w:p w14:paraId="506233D4" w14:textId="0891B066"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The concept of industry self-regulation is nearly as old as industry itself. We know, for instance, that early guilds of merchants and craftsmen set and enforced quality and trading standards to maintain the reputation and integrity of their goods.</w:t>
      </w:r>
      <w:r w:rsidR="00E03927">
        <w:rPr>
          <w:rStyle w:val="FootnoteReference"/>
          <w:rFonts w:eastAsia="Times New Roman" w:cs="Times New Roman"/>
          <w:color w:val="000000"/>
          <w:szCs w:val="24"/>
        </w:rPr>
        <w:footnoteReference w:id="3"/>
      </w:r>
      <w:r w:rsidRPr="00EC79E0">
        <w:rPr>
          <w:rFonts w:eastAsia="Times New Roman" w:cs="Times New Roman"/>
          <w:color w:val="000000"/>
          <w:szCs w:val="24"/>
        </w:rPr>
        <w:t xml:space="preserve"> And despite the more recent expansion of governmental regulation, self-regulation remains a core</w:t>
      </w:r>
      <w:r w:rsidR="00231D31">
        <w:rPr>
          <w:rFonts w:eastAsia="Times New Roman" w:cs="Times New Roman"/>
          <w:color w:val="000000"/>
          <w:szCs w:val="24"/>
        </w:rPr>
        <w:t xml:space="preserve"> legal and</w:t>
      </w:r>
      <w:r w:rsidR="00967E40">
        <w:rPr>
          <w:rFonts w:eastAsia="Times New Roman" w:cs="Times New Roman"/>
          <w:color w:val="000000"/>
          <w:szCs w:val="24"/>
        </w:rPr>
        <w:t xml:space="preserve"> regulatory</w:t>
      </w:r>
      <w:r w:rsidRPr="00EC79E0">
        <w:rPr>
          <w:rFonts w:eastAsia="Times New Roman" w:cs="Times New Roman"/>
          <w:color w:val="000000"/>
          <w:szCs w:val="24"/>
        </w:rPr>
        <w:t xml:space="preserve"> </w:t>
      </w:r>
      <w:r w:rsidRPr="00EC79E0">
        <w:rPr>
          <w:rFonts w:eastAsia="Times New Roman" w:cs="Times New Roman"/>
          <w:color w:val="000000"/>
          <w:szCs w:val="24"/>
        </w:rPr>
        <w:lastRenderedPageBreak/>
        <w:t>mechanism</w:t>
      </w:r>
      <w:r w:rsidR="00967E40">
        <w:rPr>
          <w:rFonts w:eastAsia="Times New Roman" w:cs="Times New Roman"/>
          <w:color w:val="000000"/>
          <w:szCs w:val="24"/>
        </w:rPr>
        <w:t xml:space="preserve"> in our society</w:t>
      </w:r>
      <w:r w:rsidR="00171440">
        <w:rPr>
          <w:rFonts w:eastAsia="Times New Roman" w:cs="Times New Roman"/>
          <w:color w:val="000000"/>
          <w:szCs w:val="24"/>
        </w:rPr>
        <w:t>.</w:t>
      </w:r>
      <w:r w:rsidR="003B6BB4">
        <w:rPr>
          <w:rStyle w:val="FootnoteReference"/>
          <w:rFonts w:eastAsia="Times New Roman" w:cs="Times New Roman"/>
          <w:color w:val="000000"/>
          <w:szCs w:val="24"/>
        </w:rPr>
        <w:footnoteReference w:id="4"/>
      </w:r>
      <w:r w:rsidR="00171440">
        <w:rPr>
          <w:rFonts w:eastAsia="Times New Roman" w:cs="Times New Roman"/>
          <w:color w:val="000000"/>
          <w:szCs w:val="24"/>
        </w:rPr>
        <w:t xml:space="preserve"> </w:t>
      </w:r>
      <w:r w:rsidR="00563967">
        <w:rPr>
          <w:rFonts w:eastAsia="Times New Roman" w:cs="Times New Roman"/>
          <w:color w:val="000000"/>
          <w:szCs w:val="24"/>
        </w:rPr>
        <w:t xml:space="preserve">Most importantly for our purposes here, it </w:t>
      </w:r>
      <w:r w:rsidRPr="00EC79E0">
        <w:rPr>
          <w:rFonts w:eastAsia="Times New Roman" w:cs="Times New Roman"/>
          <w:color w:val="000000"/>
          <w:szCs w:val="24"/>
        </w:rPr>
        <w:t xml:space="preserve">has also proven critical in emerging industries, particularly those involving </w:t>
      </w:r>
      <w:r w:rsidR="00732E93">
        <w:rPr>
          <w:rFonts w:eastAsia="Times New Roman" w:cs="Times New Roman"/>
          <w:color w:val="000000"/>
          <w:szCs w:val="24"/>
        </w:rPr>
        <w:t>innovative</w:t>
      </w:r>
      <w:r w:rsidR="00732E93" w:rsidRPr="00EC79E0">
        <w:rPr>
          <w:rFonts w:eastAsia="Times New Roman" w:cs="Times New Roman"/>
          <w:color w:val="000000"/>
          <w:szCs w:val="24"/>
        </w:rPr>
        <w:t xml:space="preserve"> </w:t>
      </w:r>
      <w:r w:rsidRPr="00EC79E0">
        <w:rPr>
          <w:rFonts w:eastAsia="Times New Roman" w:cs="Times New Roman"/>
          <w:color w:val="000000"/>
          <w:szCs w:val="24"/>
        </w:rPr>
        <w:t>and complex technologies</w:t>
      </w:r>
      <w:r w:rsidR="00732E93">
        <w:rPr>
          <w:rFonts w:eastAsia="Times New Roman" w:cs="Times New Roman"/>
          <w:color w:val="000000"/>
          <w:szCs w:val="24"/>
        </w:rPr>
        <w:t xml:space="preserve"> that</w:t>
      </w:r>
      <w:r w:rsidR="009E44D0">
        <w:rPr>
          <w:rFonts w:eastAsia="Times New Roman" w:cs="Times New Roman"/>
          <w:color w:val="000000"/>
          <w:szCs w:val="24"/>
        </w:rPr>
        <w:t xml:space="preserve"> rely on network effects and </w:t>
      </w:r>
      <w:r w:rsidR="00732E93">
        <w:rPr>
          <w:rFonts w:eastAsia="Times New Roman" w:cs="Times New Roman"/>
          <w:color w:val="000000"/>
          <w:szCs w:val="24"/>
        </w:rPr>
        <w:t xml:space="preserve"> create</w:t>
      </w:r>
      <w:r w:rsidRPr="00EC79E0">
        <w:rPr>
          <w:rFonts w:eastAsia="Times New Roman" w:cs="Times New Roman"/>
          <w:color w:val="000000"/>
          <w:szCs w:val="24"/>
        </w:rPr>
        <w:t> coordination challenges</w:t>
      </w:r>
      <w:r w:rsidR="003C5BA8">
        <w:rPr>
          <w:rFonts w:eastAsia="Times New Roman" w:cs="Times New Roman"/>
          <w:color w:val="000000"/>
          <w:szCs w:val="24"/>
        </w:rPr>
        <w:t>,</w:t>
      </w:r>
      <w:bookmarkStart w:id="1" w:name="_Ref142310404"/>
      <w:r w:rsidR="00E03927">
        <w:rPr>
          <w:rStyle w:val="FootnoteReference"/>
          <w:rFonts w:eastAsia="Times New Roman" w:cs="Times New Roman"/>
          <w:color w:val="000000"/>
          <w:szCs w:val="24"/>
        </w:rPr>
        <w:footnoteReference w:id="5"/>
      </w:r>
      <w:bookmarkEnd w:id="1"/>
      <w:r w:rsidR="003C5BA8">
        <w:rPr>
          <w:rFonts w:eastAsia="Times New Roman" w:cs="Times New Roman"/>
          <w:color w:val="000000"/>
          <w:szCs w:val="24"/>
        </w:rPr>
        <w:t xml:space="preserve"> though this function of self-regulation has been underexplored.</w:t>
      </w:r>
      <w:r w:rsidRPr="00EC79E0">
        <w:rPr>
          <w:rFonts w:eastAsia="Times New Roman" w:cs="Times New Roman"/>
          <w:color w:val="000000"/>
          <w:szCs w:val="24"/>
        </w:rPr>
        <w:t xml:space="preserve">  </w:t>
      </w:r>
    </w:p>
    <w:p w14:paraId="626B2FE5" w14:textId="77777777" w:rsidR="00924635" w:rsidRPr="00EC79E0" w:rsidRDefault="00924635" w:rsidP="00924635">
      <w:pPr>
        <w:spacing w:after="0" w:line="240" w:lineRule="auto"/>
        <w:rPr>
          <w:rFonts w:eastAsia="Times New Roman" w:cs="Times New Roman"/>
          <w:szCs w:val="24"/>
        </w:rPr>
      </w:pPr>
    </w:p>
    <w:p w14:paraId="2BBB1293" w14:textId="3053CF1F" w:rsidR="00E03927" w:rsidRDefault="00924635" w:rsidP="0092463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 xml:space="preserve">In this </w:t>
      </w:r>
      <w:r w:rsidR="00D902E9">
        <w:rPr>
          <w:rFonts w:eastAsia="Times New Roman" w:cs="Times New Roman"/>
          <w:color w:val="000000"/>
          <w:szCs w:val="24"/>
        </w:rPr>
        <w:t>Article</w:t>
      </w:r>
      <w:r w:rsidRPr="00EC79E0">
        <w:rPr>
          <w:rFonts w:eastAsia="Times New Roman" w:cs="Times New Roman"/>
          <w:color w:val="000000"/>
          <w:szCs w:val="24"/>
        </w:rPr>
        <w:t>, we study</w:t>
      </w:r>
      <w:r w:rsidR="006B2168">
        <w:rPr>
          <w:rFonts w:eastAsia="Times New Roman" w:cs="Times New Roman"/>
          <w:color w:val="000000"/>
          <w:szCs w:val="24"/>
        </w:rPr>
        <w:t xml:space="preserve"> several of</w:t>
      </w:r>
      <w:r w:rsidRPr="00EC79E0">
        <w:rPr>
          <w:rFonts w:eastAsia="Times New Roman" w:cs="Times New Roman"/>
          <w:color w:val="000000"/>
          <w:szCs w:val="24"/>
        </w:rPr>
        <w:t xml:space="preserve"> </w:t>
      </w:r>
      <w:r w:rsidR="00563967">
        <w:rPr>
          <w:rFonts w:eastAsia="Times New Roman" w:cs="Times New Roman"/>
          <w:color w:val="000000"/>
          <w:szCs w:val="24"/>
        </w:rPr>
        <w:t xml:space="preserve">these </w:t>
      </w:r>
      <w:r w:rsidRPr="00EC79E0">
        <w:rPr>
          <w:rFonts w:eastAsia="Times New Roman" w:cs="Times New Roman"/>
          <w:color w:val="000000"/>
          <w:szCs w:val="24"/>
        </w:rPr>
        <w:t xml:space="preserve">emerging industries—the </w:t>
      </w:r>
      <w:r w:rsidR="00751D0F">
        <w:rPr>
          <w:rFonts w:eastAsia="Times New Roman" w:cs="Times New Roman"/>
          <w:color w:val="000000"/>
          <w:szCs w:val="24"/>
        </w:rPr>
        <w:t xml:space="preserve">nascent </w:t>
      </w:r>
      <w:r w:rsidRPr="00EC79E0">
        <w:rPr>
          <w:rFonts w:eastAsia="Times New Roman" w:cs="Times New Roman"/>
          <w:color w:val="000000"/>
          <w:szCs w:val="24"/>
        </w:rPr>
        <w:t xml:space="preserve">hydrogen industry, the </w:t>
      </w:r>
      <w:r w:rsidR="00ED2555">
        <w:rPr>
          <w:rFonts w:eastAsia="Times New Roman" w:cs="Times New Roman"/>
          <w:color w:val="000000"/>
          <w:szCs w:val="24"/>
        </w:rPr>
        <w:t xml:space="preserve">historical </w:t>
      </w:r>
      <w:r w:rsidRPr="00EC79E0">
        <w:rPr>
          <w:rFonts w:eastAsia="Times New Roman" w:cs="Times New Roman"/>
          <w:color w:val="000000"/>
          <w:szCs w:val="24"/>
        </w:rPr>
        <w:t xml:space="preserve">development of the Internet, the early days of hydraulic fracturing for oil and gas, and </w:t>
      </w:r>
      <w:r w:rsidR="006715FC">
        <w:rPr>
          <w:rFonts w:eastAsia="Times New Roman" w:cs="Times New Roman"/>
          <w:color w:val="000000"/>
          <w:szCs w:val="24"/>
        </w:rPr>
        <w:t xml:space="preserve">the </w:t>
      </w:r>
      <w:r w:rsidR="00B7077A">
        <w:rPr>
          <w:rFonts w:eastAsia="Times New Roman" w:cs="Times New Roman"/>
          <w:color w:val="000000"/>
          <w:szCs w:val="24"/>
        </w:rPr>
        <w:t>burgeoning artificial intelligence field</w:t>
      </w:r>
      <w:r w:rsidRPr="00EC79E0">
        <w:rPr>
          <w:rFonts w:eastAsia="Times New Roman" w:cs="Times New Roman"/>
          <w:color w:val="000000"/>
          <w:szCs w:val="24"/>
        </w:rPr>
        <w:t>—</w:t>
      </w:r>
      <w:proofErr w:type="gramStart"/>
      <w:r w:rsidRPr="00EC79E0">
        <w:rPr>
          <w:rFonts w:eastAsia="Times New Roman" w:cs="Times New Roman"/>
          <w:color w:val="000000"/>
          <w:szCs w:val="24"/>
        </w:rPr>
        <w:t>in order to</w:t>
      </w:r>
      <w:proofErr w:type="gramEnd"/>
      <w:r w:rsidRPr="00EC79E0">
        <w:rPr>
          <w:rFonts w:eastAsia="Times New Roman" w:cs="Times New Roman"/>
          <w:color w:val="000000"/>
          <w:szCs w:val="24"/>
        </w:rPr>
        <w:t xml:space="preserve"> shed light on the theory of self-regulation and how it applies in the context of especially technical, networked, and urgently needed </w:t>
      </w:r>
      <w:r w:rsidR="00374E8A">
        <w:rPr>
          <w:rFonts w:eastAsia="Times New Roman" w:cs="Times New Roman"/>
          <w:color w:val="000000"/>
          <w:szCs w:val="24"/>
        </w:rPr>
        <w:t xml:space="preserve">emergent </w:t>
      </w:r>
      <w:r w:rsidRPr="00EC79E0">
        <w:rPr>
          <w:rFonts w:eastAsia="Times New Roman" w:cs="Times New Roman"/>
          <w:color w:val="000000"/>
          <w:szCs w:val="24"/>
        </w:rPr>
        <w:t xml:space="preserve">industries. We examine how </w:t>
      </w:r>
      <w:r w:rsidR="000D10E6">
        <w:rPr>
          <w:rFonts w:eastAsia="Times New Roman" w:cs="Times New Roman"/>
          <w:color w:val="000000"/>
          <w:szCs w:val="24"/>
        </w:rPr>
        <w:t>self-regulation</w:t>
      </w:r>
      <w:r w:rsidR="00ED2555">
        <w:rPr>
          <w:rFonts w:eastAsia="Times New Roman" w:cs="Times New Roman"/>
          <w:color w:val="000000"/>
          <w:szCs w:val="24"/>
        </w:rPr>
        <w:t>, in concert with</w:t>
      </w:r>
      <w:r w:rsidR="00374E8A">
        <w:rPr>
          <w:rFonts w:eastAsia="Times New Roman" w:cs="Times New Roman"/>
          <w:color w:val="000000"/>
          <w:szCs w:val="24"/>
        </w:rPr>
        <w:t xml:space="preserve"> some degree of public</w:t>
      </w:r>
      <w:r w:rsidR="00ED2555">
        <w:rPr>
          <w:rFonts w:eastAsia="Times New Roman" w:cs="Times New Roman"/>
          <w:color w:val="000000"/>
          <w:szCs w:val="24"/>
        </w:rPr>
        <w:t xml:space="preserve"> </w:t>
      </w:r>
      <w:r w:rsidRPr="00EC79E0">
        <w:rPr>
          <w:rFonts w:eastAsia="Times New Roman" w:cs="Times New Roman"/>
          <w:color w:val="000000"/>
          <w:szCs w:val="24"/>
        </w:rPr>
        <w:t>regulation</w:t>
      </w:r>
      <w:r w:rsidR="00374E8A">
        <w:rPr>
          <w:rFonts w:eastAsia="Times New Roman" w:cs="Times New Roman"/>
          <w:color w:val="000000"/>
          <w:szCs w:val="24"/>
        </w:rPr>
        <w:t>,</w:t>
      </w:r>
      <w:r w:rsidRPr="00EC79E0">
        <w:rPr>
          <w:rFonts w:eastAsia="Times New Roman" w:cs="Times New Roman"/>
          <w:color w:val="000000"/>
          <w:szCs w:val="24"/>
        </w:rPr>
        <w:t xml:space="preserve"> can </w:t>
      </w:r>
      <w:r w:rsidR="00374E8A">
        <w:rPr>
          <w:rFonts w:eastAsia="Times New Roman" w:cs="Times New Roman"/>
          <w:color w:val="000000"/>
          <w:szCs w:val="24"/>
        </w:rPr>
        <w:t xml:space="preserve">contribute to </w:t>
      </w:r>
      <w:r w:rsidRPr="00EC79E0">
        <w:rPr>
          <w:rFonts w:eastAsia="Times New Roman" w:cs="Times New Roman"/>
          <w:color w:val="000000"/>
          <w:szCs w:val="24"/>
        </w:rPr>
        <w:t>the growth</w:t>
      </w:r>
      <w:r w:rsidR="002627BE">
        <w:rPr>
          <w:rFonts w:eastAsia="Times New Roman" w:cs="Times New Roman"/>
          <w:color w:val="000000"/>
          <w:szCs w:val="24"/>
        </w:rPr>
        <w:t xml:space="preserve"> and success</w:t>
      </w:r>
      <w:r w:rsidRPr="00EC79E0">
        <w:rPr>
          <w:rFonts w:eastAsia="Times New Roman" w:cs="Times New Roman"/>
          <w:color w:val="000000"/>
          <w:szCs w:val="24"/>
        </w:rPr>
        <w:t xml:space="preserve"> of these industries</w:t>
      </w:r>
      <w:r w:rsidR="000D10E6">
        <w:rPr>
          <w:rFonts w:eastAsia="Times New Roman" w:cs="Times New Roman"/>
          <w:color w:val="000000"/>
          <w:szCs w:val="24"/>
        </w:rPr>
        <w:t xml:space="preserve"> while ensuring that the public is protected </w:t>
      </w:r>
      <w:r w:rsidR="000F7262">
        <w:rPr>
          <w:rFonts w:eastAsia="Times New Roman" w:cs="Times New Roman"/>
          <w:color w:val="000000"/>
          <w:szCs w:val="24"/>
        </w:rPr>
        <w:t xml:space="preserve">from potential </w:t>
      </w:r>
      <w:proofErr w:type="gramStart"/>
      <w:r w:rsidR="000F7262">
        <w:rPr>
          <w:rFonts w:eastAsia="Times New Roman" w:cs="Times New Roman"/>
          <w:color w:val="000000"/>
          <w:szCs w:val="24"/>
        </w:rPr>
        <w:t>harms</w:t>
      </w:r>
      <w:proofErr w:type="gramEnd"/>
      <w:r w:rsidRPr="00EC79E0">
        <w:rPr>
          <w:rFonts w:eastAsia="Times New Roman" w:cs="Times New Roman"/>
          <w:color w:val="000000"/>
          <w:szCs w:val="24"/>
        </w:rPr>
        <w:t xml:space="preserve">. </w:t>
      </w:r>
      <w:r w:rsidR="00E03927">
        <w:rPr>
          <w:rFonts w:eastAsia="Times New Roman" w:cs="Times New Roman"/>
          <w:color w:val="000000"/>
          <w:szCs w:val="24"/>
        </w:rPr>
        <w:t xml:space="preserve">Through this analysis, we expand the </w:t>
      </w:r>
      <w:r w:rsidR="00DD2749">
        <w:rPr>
          <w:rFonts w:eastAsia="Times New Roman" w:cs="Times New Roman"/>
          <w:color w:val="000000"/>
          <w:szCs w:val="24"/>
        </w:rPr>
        <w:t>self-regulation</w:t>
      </w:r>
      <w:r w:rsidR="00E03927">
        <w:rPr>
          <w:rFonts w:eastAsia="Times New Roman" w:cs="Times New Roman"/>
          <w:color w:val="000000"/>
          <w:szCs w:val="24"/>
        </w:rPr>
        <w:t xml:space="preserve"> literature to explicitly address innovation; connect the innovation literature with </w:t>
      </w:r>
      <w:r w:rsidR="00DD2749">
        <w:rPr>
          <w:rFonts w:eastAsia="Times New Roman" w:cs="Times New Roman"/>
          <w:color w:val="000000"/>
          <w:szCs w:val="24"/>
        </w:rPr>
        <w:t>self-regulat</w:t>
      </w:r>
      <w:r w:rsidR="007A1EB2">
        <w:rPr>
          <w:rFonts w:eastAsia="Times New Roman" w:cs="Times New Roman"/>
          <w:color w:val="000000"/>
          <w:szCs w:val="24"/>
        </w:rPr>
        <w:t>ion</w:t>
      </w:r>
      <w:r w:rsidR="00DD2749">
        <w:rPr>
          <w:rFonts w:eastAsia="Times New Roman" w:cs="Times New Roman"/>
          <w:color w:val="000000"/>
          <w:szCs w:val="24"/>
        </w:rPr>
        <w:t xml:space="preserve"> </w:t>
      </w:r>
      <w:r w:rsidR="00E03927">
        <w:rPr>
          <w:rFonts w:eastAsia="Times New Roman" w:cs="Times New Roman"/>
          <w:color w:val="000000"/>
          <w:szCs w:val="24"/>
        </w:rPr>
        <w:t xml:space="preserve">theory; and more fully examine the interaction between public and private standards, particularly within emerging industries.  </w:t>
      </w:r>
    </w:p>
    <w:p w14:paraId="7528622B" w14:textId="77777777" w:rsidR="00924635" w:rsidRPr="00EC79E0" w:rsidRDefault="00924635" w:rsidP="00924635">
      <w:pPr>
        <w:spacing w:after="0" w:line="240" w:lineRule="auto"/>
        <w:rPr>
          <w:rFonts w:eastAsia="Times New Roman" w:cs="Times New Roman"/>
          <w:szCs w:val="24"/>
        </w:rPr>
      </w:pPr>
    </w:p>
    <w:p w14:paraId="071B23CB" w14:textId="7FAB5E2D" w:rsidR="00721628" w:rsidRDefault="00E03927" w:rsidP="00ED1631">
      <w:pPr>
        <w:spacing w:after="0" w:line="240" w:lineRule="auto"/>
        <w:ind w:firstLine="720"/>
        <w:jc w:val="both"/>
        <w:rPr>
          <w:rFonts w:eastAsia="Times New Roman" w:cs="Times New Roman"/>
          <w:color w:val="000000"/>
          <w:szCs w:val="24"/>
        </w:rPr>
      </w:pPr>
      <w:r>
        <w:rPr>
          <w:rFonts w:eastAsia="Times New Roman" w:cs="Times New Roman"/>
          <w:color w:val="000000"/>
          <w:szCs w:val="24"/>
        </w:rPr>
        <w:t xml:space="preserve">In focusing on self-regulation and innovation, we </w:t>
      </w:r>
      <w:r w:rsidR="00ED1631">
        <w:rPr>
          <w:rFonts w:eastAsia="Times New Roman" w:cs="Times New Roman"/>
          <w:color w:val="000000"/>
          <w:szCs w:val="24"/>
        </w:rPr>
        <w:t xml:space="preserve">bring together two literatures—the </w:t>
      </w:r>
      <w:r w:rsidR="00DD2749">
        <w:rPr>
          <w:rFonts w:eastAsia="Times New Roman" w:cs="Times New Roman"/>
          <w:color w:val="000000"/>
          <w:szCs w:val="24"/>
        </w:rPr>
        <w:t>self-regulation</w:t>
      </w:r>
      <w:r>
        <w:rPr>
          <w:rFonts w:eastAsia="Times New Roman" w:cs="Times New Roman"/>
          <w:color w:val="000000"/>
          <w:szCs w:val="24"/>
        </w:rPr>
        <w:t xml:space="preserve"> and innovation literatures</w:t>
      </w:r>
      <w:r w:rsidR="00ED1631">
        <w:rPr>
          <w:rFonts w:eastAsia="Times New Roman" w:cs="Times New Roman"/>
          <w:color w:val="000000"/>
          <w:szCs w:val="24"/>
        </w:rPr>
        <w:t>—that are usually siloed from each other</w:t>
      </w:r>
      <w:r>
        <w:rPr>
          <w:rFonts w:eastAsia="Times New Roman" w:cs="Times New Roman"/>
          <w:color w:val="000000"/>
          <w:szCs w:val="24"/>
        </w:rPr>
        <w:t>.</w:t>
      </w:r>
      <w:bookmarkStart w:id="2" w:name="_Ref142312240"/>
      <w:r w:rsidR="008D2F65">
        <w:rPr>
          <w:rStyle w:val="FootnoteReference"/>
          <w:rFonts w:eastAsia="Times New Roman" w:cs="Times New Roman"/>
          <w:color w:val="000000"/>
          <w:szCs w:val="24"/>
        </w:rPr>
        <w:footnoteReference w:id="6"/>
      </w:r>
      <w:bookmarkEnd w:id="2"/>
      <w:r>
        <w:rPr>
          <w:rFonts w:eastAsia="Times New Roman" w:cs="Times New Roman"/>
          <w:color w:val="000000"/>
          <w:szCs w:val="24"/>
        </w:rPr>
        <w:t xml:space="preserve"> </w:t>
      </w:r>
      <w:r w:rsidR="00924635" w:rsidRPr="00EC79E0">
        <w:rPr>
          <w:rFonts w:eastAsia="Times New Roman" w:cs="Times New Roman"/>
          <w:color w:val="000000"/>
          <w:szCs w:val="24"/>
        </w:rPr>
        <w:t>There is a robust literature</w:t>
      </w:r>
      <w:r>
        <w:rPr>
          <w:rFonts w:eastAsia="Times New Roman" w:cs="Times New Roman"/>
          <w:color w:val="000000"/>
          <w:szCs w:val="24"/>
        </w:rPr>
        <w:t xml:space="preserve"> exploring the conditions under which effective self-regulation is likely to emerge</w:t>
      </w:r>
      <w:r w:rsidR="00381BDD">
        <w:rPr>
          <w:rFonts w:eastAsia="Times New Roman" w:cs="Times New Roman"/>
          <w:color w:val="000000"/>
          <w:szCs w:val="24"/>
        </w:rPr>
        <w:t xml:space="preserve"> and be effective</w:t>
      </w:r>
      <w:r>
        <w:rPr>
          <w:rFonts w:eastAsia="Times New Roman" w:cs="Times New Roman"/>
          <w:color w:val="000000"/>
          <w:szCs w:val="24"/>
        </w:rPr>
        <w:t>,</w:t>
      </w:r>
      <w:r w:rsidR="00381BDD">
        <w:rPr>
          <w:rStyle w:val="FootnoteReference"/>
          <w:rFonts w:eastAsia="Times New Roman" w:cs="Times New Roman"/>
          <w:color w:val="000000"/>
          <w:szCs w:val="24"/>
        </w:rPr>
        <w:footnoteReference w:id="7"/>
      </w:r>
      <w:r w:rsidR="00924635" w:rsidRPr="00EC79E0">
        <w:rPr>
          <w:rFonts w:eastAsia="Times New Roman" w:cs="Times New Roman"/>
          <w:color w:val="000000"/>
          <w:szCs w:val="24"/>
        </w:rPr>
        <w:t xml:space="preserve">  </w:t>
      </w:r>
      <w:r>
        <w:rPr>
          <w:rFonts w:eastAsia="Times New Roman" w:cs="Times New Roman"/>
          <w:color w:val="000000"/>
          <w:szCs w:val="24"/>
        </w:rPr>
        <w:t xml:space="preserve">and </w:t>
      </w:r>
      <w:r w:rsidR="00924635" w:rsidRPr="00EC79E0">
        <w:rPr>
          <w:rFonts w:eastAsia="Times New Roman" w:cs="Times New Roman"/>
          <w:color w:val="000000"/>
          <w:szCs w:val="24"/>
        </w:rPr>
        <w:t xml:space="preserve">the relationship between self-regulatory standards and public </w:t>
      </w:r>
      <w:r w:rsidR="00381BDD">
        <w:rPr>
          <w:rFonts w:eastAsia="Times New Roman" w:cs="Times New Roman"/>
          <w:color w:val="000000"/>
          <w:szCs w:val="24"/>
        </w:rPr>
        <w:t xml:space="preserve">(“meta”) </w:t>
      </w:r>
      <w:r w:rsidR="00924635" w:rsidRPr="00EC79E0">
        <w:rPr>
          <w:rFonts w:eastAsia="Times New Roman" w:cs="Times New Roman"/>
          <w:color w:val="000000"/>
          <w:szCs w:val="24"/>
        </w:rPr>
        <w:t>regulation</w:t>
      </w:r>
      <w:r w:rsidR="00381BDD">
        <w:rPr>
          <w:rFonts w:eastAsia="Times New Roman" w:cs="Times New Roman"/>
          <w:color w:val="000000"/>
          <w:szCs w:val="24"/>
        </w:rPr>
        <w:t>.</w:t>
      </w:r>
      <w:bookmarkStart w:id="3" w:name="_Ref142240148"/>
      <w:bookmarkStart w:id="4" w:name="_Ref141790499"/>
      <w:r w:rsidR="00DD158D">
        <w:rPr>
          <w:rStyle w:val="FootnoteReference"/>
          <w:rFonts w:eastAsia="Times New Roman" w:cs="Times New Roman"/>
          <w:color w:val="000000"/>
          <w:szCs w:val="24"/>
        </w:rPr>
        <w:footnoteReference w:id="8"/>
      </w:r>
      <w:bookmarkEnd w:id="3"/>
      <w:bookmarkEnd w:id="4"/>
      <w:r w:rsidR="00924635" w:rsidRPr="00EC79E0">
        <w:rPr>
          <w:rFonts w:eastAsia="Times New Roman" w:cs="Times New Roman"/>
          <w:color w:val="000000"/>
          <w:szCs w:val="24"/>
        </w:rPr>
        <w:t xml:space="preserve"> </w:t>
      </w:r>
      <w:r w:rsidR="00381BDD">
        <w:rPr>
          <w:rFonts w:eastAsia="Times New Roman" w:cs="Times New Roman"/>
          <w:color w:val="000000"/>
          <w:szCs w:val="24"/>
        </w:rPr>
        <w:t>There is also a</w:t>
      </w:r>
      <w:r w:rsidR="00924635" w:rsidRPr="00EC79E0">
        <w:rPr>
          <w:rFonts w:eastAsia="Times New Roman" w:cs="Times New Roman"/>
          <w:color w:val="000000"/>
          <w:szCs w:val="24"/>
        </w:rPr>
        <w:t xml:space="preserve"> growing literature on the value of self-regulation </w:t>
      </w:r>
      <w:r w:rsidR="00924635" w:rsidRPr="00EC79E0">
        <w:rPr>
          <w:rFonts w:eastAsia="Times New Roman" w:cs="Times New Roman"/>
          <w:color w:val="000000"/>
          <w:szCs w:val="24"/>
        </w:rPr>
        <w:lastRenderedPageBreak/>
        <w:t>in the environmental and energy contexts.</w:t>
      </w:r>
      <w:bookmarkStart w:id="5" w:name="_Ref142231869"/>
      <w:r>
        <w:rPr>
          <w:rStyle w:val="FootnoteReference"/>
          <w:rFonts w:eastAsia="Times New Roman" w:cs="Times New Roman"/>
          <w:color w:val="000000"/>
          <w:szCs w:val="24"/>
        </w:rPr>
        <w:footnoteReference w:id="9"/>
      </w:r>
      <w:bookmarkEnd w:id="5"/>
      <w:r w:rsidR="00924635" w:rsidRPr="00EC79E0">
        <w:rPr>
          <w:rFonts w:eastAsia="Times New Roman" w:cs="Times New Roman"/>
          <w:color w:val="000000"/>
          <w:szCs w:val="24"/>
        </w:rPr>
        <w:t xml:space="preserve"> These literatures pose the question of the suitability </w:t>
      </w:r>
      <w:r w:rsidR="00ED2555">
        <w:rPr>
          <w:rFonts w:eastAsia="Times New Roman" w:cs="Times New Roman"/>
          <w:color w:val="000000"/>
          <w:szCs w:val="24"/>
        </w:rPr>
        <w:t xml:space="preserve">and effectiveness </w:t>
      </w:r>
      <w:r w:rsidR="00924635" w:rsidRPr="00EC79E0">
        <w:rPr>
          <w:rFonts w:eastAsia="Times New Roman" w:cs="Times New Roman"/>
          <w:color w:val="000000"/>
          <w:szCs w:val="24"/>
        </w:rPr>
        <w:t xml:space="preserve">of self-regulation often </w:t>
      </w:r>
      <w:r w:rsidR="00ED2555">
        <w:rPr>
          <w:rFonts w:eastAsia="Times New Roman" w:cs="Times New Roman"/>
          <w:color w:val="000000"/>
          <w:szCs w:val="24"/>
        </w:rPr>
        <w:t xml:space="preserve">in the context of </w:t>
      </w:r>
      <w:r w:rsidR="00924635" w:rsidRPr="00EC79E0">
        <w:rPr>
          <w:rFonts w:eastAsia="Times New Roman" w:cs="Times New Roman"/>
          <w:color w:val="000000"/>
          <w:szCs w:val="24"/>
        </w:rPr>
        <w:t xml:space="preserve">well-established industries such as the chemical manufacturing industry, </w:t>
      </w:r>
      <w:r w:rsidR="00ED2555">
        <w:rPr>
          <w:rFonts w:eastAsia="Times New Roman" w:cs="Times New Roman"/>
          <w:color w:val="000000"/>
          <w:szCs w:val="24"/>
        </w:rPr>
        <w:t>and</w:t>
      </w:r>
      <w:r w:rsidR="00ED2555" w:rsidRPr="00EC79E0">
        <w:rPr>
          <w:rFonts w:eastAsia="Times New Roman" w:cs="Times New Roman"/>
          <w:color w:val="000000"/>
          <w:szCs w:val="24"/>
        </w:rPr>
        <w:t xml:space="preserve"> </w:t>
      </w:r>
      <w:r w:rsidR="00924635" w:rsidRPr="00EC79E0">
        <w:rPr>
          <w:rFonts w:eastAsia="Times New Roman" w:cs="Times New Roman"/>
          <w:color w:val="000000"/>
          <w:szCs w:val="24"/>
        </w:rPr>
        <w:t xml:space="preserve">there has been inadequate discussion of the extent to which self-regulation enables innovation and coordination (as well as risk mitigation) within </w:t>
      </w:r>
      <w:r w:rsidR="00924635" w:rsidRPr="00EC79E0">
        <w:rPr>
          <w:rFonts w:eastAsia="Times New Roman" w:cs="Times New Roman"/>
          <w:i/>
          <w:iCs/>
          <w:color w:val="000000"/>
          <w:szCs w:val="24"/>
        </w:rPr>
        <w:t>nascent</w:t>
      </w:r>
      <w:r w:rsidR="00924635" w:rsidRPr="00EC79E0">
        <w:rPr>
          <w:rFonts w:eastAsia="Times New Roman" w:cs="Times New Roman"/>
          <w:color w:val="000000"/>
          <w:szCs w:val="24"/>
        </w:rPr>
        <w:t xml:space="preserve"> industries. Another literature explores the possible value of regulatory uncertainty within nascent technological areas, but primarily with a focus on public regulation</w:t>
      </w:r>
      <w:r w:rsidR="00E34B78">
        <w:rPr>
          <w:rFonts w:eastAsia="Times New Roman" w:cs="Times New Roman"/>
          <w:color w:val="000000"/>
          <w:szCs w:val="24"/>
        </w:rPr>
        <w:t xml:space="preserve"> and private law</w:t>
      </w:r>
      <w:r w:rsidR="00924635" w:rsidRPr="00EC79E0">
        <w:rPr>
          <w:rFonts w:eastAsia="Times New Roman" w:cs="Times New Roman"/>
          <w:color w:val="000000"/>
          <w:szCs w:val="24"/>
        </w:rPr>
        <w:t>, not on self-regulation.</w:t>
      </w:r>
      <w:bookmarkStart w:id="6" w:name="_Ref142235299"/>
      <w:r w:rsidR="00007423">
        <w:rPr>
          <w:rStyle w:val="FootnoteReference"/>
          <w:rFonts w:eastAsia="Times New Roman" w:cs="Times New Roman"/>
          <w:color w:val="000000"/>
          <w:szCs w:val="24"/>
        </w:rPr>
        <w:footnoteReference w:id="10"/>
      </w:r>
      <w:bookmarkEnd w:id="6"/>
      <w:r w:rsidR="00924635" w:rsidRPr="00EC79E0">
        <w:rPr>
          <w:rFonts w:eastAsia="Times New Roman" w:cs="Times New Roman"/>
          <w:color w:val="000000"/>
          <w:szCs w:val="24"/>
        </w:rPr>
        <w:t xml:space="preserve"> And a large innovation literature explores the drivers of nascent industry but tends to give short shrift—if any attention—to how regulation (whether public or private) can complement these drivers.</w:t>
      </w:r>
      <w:bookmarkStart w:id="7" w:name="_Ref142232469"/>
      <w:r w:rsidR="00924635" w:rsidRPr="00EC79E0">
        <w:rPr>
          <w:rStyle w:val="FootnoteReference"/>
          <w:rFonts w:eastAsia="Times New Roman" w:cs="Times New Roman"/>
          <w:color w:val="000000"/>
          <w:szCs w:val="24"/>
        </w:rPr>
        <w:footnoteReference w:id="11"/>
      </w:r>
      <w:bookmarkEnd w:id="7"/>
      <w:r w:rsidR="00924635" w:rsidRPr="00EC79E0">
        <w:rPr>
          <w:rFonts w:eastAsia="Times New Roman" w:cs="Times New Roman"/>
          <w:color w:val="000000"/>
          <w:szCs w:val="24"/>
        </w:rPr>
        <w:t xml:space="preserve"> </w:t>
      </w:r>
    </w:p>
    <w:p w14:paraId="12338605" w14:textId="77777777" w:rsidR="00ED2555" w:rsidRDefault="00ED2555" w:rsidP="00924635">
      <w:pPr>
        <w:spacing w:after="0" w:line="240" w:lineRule="auto"/>
        <w:ind w:firstLine="720"/>
        <w:jc w:val="both"/>
        <w:rPr>
          <w:rFonts w:eastAsia="Times New Roman" w:cs="Times New Roman"/>
          <w:color w:val="000000"/>
          <w:szCs w:val="24"/>
        </w:rPr>
      </w:pPr>
    </w:p>
    <w:p w14:paraId="176C3966" w14:textId="23A59D24" w:rsidR="00ED2555" w:rsidRPr="00EC79E0" w:rsidRDefault="00ED2555" w:rsidP="00ED2555">
      <w:pPr>
        <w:spacing w:after="0" w:line="240" w:lineRule="auto"/>
        <w:ind w:firstLine="720"/>
        <w:jc w:val="both"/>
        <w:rPr>
          <w:rFonts w:eastAsia="Times New Roman" w:cs="Times New Roman"/>
          <w:szCs w:val="24"/>
        </w:rPr>
      </w:pPr>
      <w:r>
        <w:rPr>
          <w:rFonts w:eastAsia="Times New Roman" w:cs="Times New Roman"/>
          <w:color w:val="000000"/>
          <w:szCs w:val="24"/>
        </w:rPr>
        <w:t xml:space="preserve">Building on </w:t>
      </w:r>
      <w:r w:rsidR="00DD2749">
        <w:rPr>
          <w:rFonts w:eastAsia="Times New Roman" w:cs="Times New Roman"/>
          <w:color w:val="000000"/>
          <w:szCs w:val="24"/>
        </w:rPr>
        <w:t>self-regulation</w:t>
      </w:r>
      <w:r>
        <w:rPr>
          <w:rFonts w:eastAsia="Times New Roman" w:cs="Times New Roman"/>
          <w:color w:val="000000"/>
          <w:szCs w:val="24"/>
        </w:rPr>
        <w:t xml:space="preserve"> and innovation theory and drawing lessons from case studies, we argue that a</w:t>
      </w:r>
      <w:r w:rsidRPr="00EC79E0">
        <w:rPr>
          <w:rFonts w:eastAsia="Times New Roman" w:cs="Times New Roman"/>
          <w:color w:val="000000"/>
          <w:szCs w:val="24"/>
        </w:rPr>
        <w:t xml:space="preserve"> combination of private and public regulation seems to be a critical driver of such </w:t>
      </w:r>
      <w:r>
        <w:rPr>
          <w:rFonts w:eastAsia="Times New Roman" w:cs="Times New Roman"/>
          <w:color w:val="000000"/>
          <w:szCs w:val="24"/>
        </w:rPr>
        <w:t>emerging industries</w:t>
      </w:r>
      <w:r w:rsidRPr="00EC79E0">
        <w:rPr>
          <w:rFonts w:eastAsia="Times New Roman" w:cs="Times New Roman"/>
          <w:color w:val="000000"/>
          <w:szCs w:val="24"/>
        </w:rPr>
        <w:t>, with self-regulation sometimes playing the leading role</w:t>
      </w:r>
      <w:r>
        <w:rPr>
          <w:rFonts w:eastAsia="Times New Roman" w:cs="Times New Roman"/>
          <w:color w:val="000000"/>
          <w:szCs w:val="24"/>
        </w:rPr>
        <w:t>. This is likely to be particularly true for networked industries with multiple components that require coordination</w:t>
      </w:r>
      <w:r w:rsidR="004F686D">
        <w:rPr>
          <w:rFonts w:eastAsia="Times New Roman" w:cs="Times New Roman"/>
          <w:color w:val="000000"/>
          <w:szCs w:val="24"/>
        </w:rPr>
        <w:t xml:space="preserve">—in other words, the dominant type of firm in today’s </w:t>
      </w:r>
      <w:r w:rsidR="00A510DA">
        <w:rPr>
          <w:rFonts w:eastAsia="Times New Roman" w:cs="Times New Roman"/>
          <w:color w:val="000000"/>
          <w:szCs w:val="24"/>
        </w:rPr>
        <w:t>economy</w:t>
      </w:r>
      <w:r>
        <w:rPr>
          <w:rFonts w:eastAsia="Times New Roman" w:cs="Times New Roman"/>
          <w:color w:val="000000"/>
          <w:szCs w:val="24"/>
        </w:rPr>
        <w:t>.</w:t>
      </w:r>
      <w:r w:rsidR="00A510DA">
        <w:rPr>
          <w:rStyle w:val="FootnoteReference"/>
          <w:rFonts w:eastAsia="Times New Roman" w:cs="Times New Roman"/>
          <w:color w:val="000000"/>
          <w:szCs w:val="24"/>
        </w:rPr>
        <w:footnoteReference w:id="12"/>
      </w:r>
      <w:r>
        <w:rPr>
          <w:rFonts w:eastAsia="Times New Roman" w:cs="Times New Roman"/>
          <w:color w:val="000000"/>
          <w:szCs w:val="24"/>
        </w:rPr>
        <w:t xml:space="preserve"> </w:t>
      </w:r>
      <w:r w:rsidR="00E21FAB">
        <w:rPr>
          <w:rFonts w:eastAsia="Times New Roman" w:cs="Times New Roman"/>
          <w:color w:val="000000"/>
          <w:szCs w:val="24"/>
        </w:rPr>
        <w:t>Our case studies suggest that public regulatory</w:t>
      </w:r>
      <w:r w:rsidRPr="00EC79E0">
        <w:rPr>
          <w:rFonts w:eastAsia="Times New Roman" w:cs="Times New Roman"/>
          <w:color w:val="000000"/>
          <w:szCs w:val="24"/>
        </w:rPr>
        <w:t xml:space="preserve"> institutions can spur the development of industry standards, help to address conflicts among </w:t>
      </w:r>
      <w:r w:rsidRPr="00EC79E0">
        <w:rPr>
          <w:rFonts w:eastAsia="Times New Roman" w:cs="Times New Roman"/>
          <w:color w:val="000000"/>
          <w:szCs w:val="24"/>
        </w:rPr>
        <w:lastRenderedPageBreak/>
        <w:t xml:space="preserve">competing </w:t>
      </w:r>
      <w:r w:rsidR="00E21FAB">
        <w:rPr>
          <w:rFonts w:eastAsia="Times New Roman" w:cs="Times New Roman"/>
          <w:color w:val="000000"/>
          <w:szCs w:val="24"/>
        </w:rPr>
        <w:t xml:space="preserve">industry </w:t>
      </w:r>
      <w:r w:rsidRPr="00EC79E0">
        <w:rPr>
          <w:rFonts w:eastAsia="Times New Roman" w:cs="Times New Roman"/>
          <w:color w:val="000000"/>
          <w:szCs w:val="24"/>
        </w:rPr>
        <w:t xml:space="preserve">standards, and </w:t>
      </w:r>
      <w:r>
        <w:rPr>
          <w:rFonts w:eastAsia="Times New Roman" w:cs="Times New Roman"/>
          <w:color w:val="000000"/>
          <w:szCs w:val="24"/>
        </w:rPr>
        <w:t>fill in gaps in</w:t>
      </w:r>
      <w:r w:rsidRPr="00EC79E0">
        <w:rPr>
          <w:rFonts w:eastAsia="Times New Roman" w:cs="Times New Roman"/>
          <w:color w:val="000000"/>
          <w:szCs w:val="24"/>
        </w:rPr>
        <w:t xml:space="preserve"> standards </w:t>
      </w:r>
      <w:proofErr w:type="gramStart"/>
      <w:r w:rsidRPr="00EC79E0">
        <w:rPr>
          <w:rFonts w:eastAsia="Times New Roman" w:cs="Times New Roman"/>
          <w:color w:val="000000"/>
          <w:szCs w:val="24"/>
        </w:rPr>
        <w:t>in order to</w:t>
      </w:r>
      <w:proofErr w:type="gramEnd"/>
      <w:r w:rsidRPr="00EC79E0">
        <w:rPr>
          <w:rFonts w:eastAsia="Times New Roman" w:cs="Times New Roman"/>
          <w:color w:val="000000"/>
          <w:szCs w:val="24"/>
        </w:rPr>
        <w:t xml:space="preserve"> support emerging industries. </w:t>
      </w:r>
      <w:r>
        <w:rPr>
          <w:rFonts w:eastAsia="Times New Roman" w:cs="Times New Roman"/>
          <w:color w:val="000000"/>
          <w:szCs w:val="24"/>
        </w:rPr>
        <w:t xml:space="preserve">The layering of public governance atop private standards is also important for the more traditional reasons explored in the literature on “meta-regulation” of </w:t>
      </w:r>
      <w:r w:rsidR="007A1EB2">
        <w:rPr>
          <w:rFonts w:eastAsia="Times New Roman" w:cs="Times New Roman"/>
          <w:color w:val="000000"/>
          <w:szCs w:val="24"/>
        </w:rPr>
        <w:t xml:space="preserve">SSOs </w:t>
      </w:r>
      <w:r w:rsidR="008267FC">
        <w:rPr>
          <w:rFonts w:eastAsia="Times New Roman" w:cs="Times New Roman"/>
          <w:color w:val="000000"/>
          <w:szCs w:val="24"/>
        </w:rPr>
        <w:t>and SROs,</w:t>
      </w:r>
      <w:r>
        <w:rPr>
          <w:rFonts w:eastAsia="Times New Roman" w:cs="Times New Roman"/>
          <w:color w:val="000000"/>
          <w:szCs w:val="24"/>
        </w:rPr>
        <w:t xml:space="preserve"> as</w:t>
      </w:r>
      <w:r w:rsidRPr="00EC79E0">
        <w:rPr>
          <w:rFonts w:eastAsia="Times New Roman" w:cs="Times New Roman"/>
          <w:color w:val="000000"/>
          <w:szCs w:val="24"/>
        </w:rPr>
        <w:t xml:space="preserve"> self-regulation can raise concerns about capture and anti-competitive behavior</w:t>
      </w:r>
      <w:r>
        <w:rPr>
          <w:rFonts w:eastAsia="Times New Roman" w:cs="Times New Roman"/>
          <w:color w:val="000000"/>
          <w:szCs w:val="24"/>
        </w:rPr>
        <w:t>.</w:t>
      </w:r>
      <w:r w:rsidR="00C127F6">
        <w:rPr>
          <w:rStyle w:val="FootnoteReference"/>
          <w:rFonts w:eastAsia="Times New Roman" w:cs="Times New Roman"/>
          <w:color w:val="000000"/>
          <w:szCs w:val="24"/>
        </w:rPr>
        <w:footnoteReference w:id="13"/>
      </w:r>
      <w:r>
        <w:rPr>
          <w:rFonts w:eastAsia="Times New Roman" w:cs="Times New Roman"/>
          <w:color w:val="000000"/>
          <w:szCs w:val="24"/>
        </w:rPr>
        <w:t xml:space="preserve"> I</w:t>
      </w:r>
      <w:r w:rsidRPr="00EC79E0">
        <w:rPr>
          <w:rFonts w:eastAsia="Times New Roman" w:cs="Times New Roman"/>
          <w:color w:val="000000"/>
          <w:szCs w:val="24"/>
        </w:rPr>
        <w:t>n some cases the need for government intervention to overcome coordination problems</w:t>
      </w:r>
      <w:r>
        <w:rPr>
          <w:rFonts w:eastAsia="Times New Roman" w:cs="Times New Roman"/>
          <w:color w:val="000000"/>
          <w:szCs w:val="24"/>
        </w:rPr>
        <w:t xml:space="preserve"> and to address externalities </w:t>
      </w:r>
      <w:r w:rsidRPr="00EC79E0">
        <w:rPr>
          <w:rFonts w:eastAsia="Times New Roman" w:cs="Times New Roman"/>
          <w:color w:val="000000"/>
          <w:szCs w:val="24"/>
        </w:rPr>
        <w:t xml:space="preserve"> may become so acute that self-regulation needs to give way to</w:t>
      </w:r>
      <w:r w:rsidR="009236D0">
        <w:rPr>
          <w:rFonts w:eastAsia="Times New Roman" w:cs="Times New Roman"/>
          <w:color w:val="000000"/>
          <w:szCs w:val="24"/>
        </w:rPr>
        <w:t xml:space="preserve"> exclusive </w:t>
      </w:r>
      <w:r w:rsidRPr="00EC79E0">
        <w:rPr>
          <w:rFonts w:eastAsia="Times New Roman" w:cs="Times New Roman"/>
          <w:color w:val="000000"/>
          <w:szCs w:val="24"/>
        </w:rPr>
        <w:t>public governance. But our examination of emerging industries convinces us that self-regulation</w:t>
      </w:r>
      <w:r w:rsidR="009236D0">
        <w:rPr>
          <w:rFonts w:eastAsia="Times New Roman" w:cs="Times New Roman"/>
          <w:color w:val="000000"/>
          <w:szCs w:val="24"/>
        </w:rPr>
        <w:t xml:space="preserve"> often</w:t>
      </w:r>
      <w:r w:rsidRPr="00EC79E0">
        <w:rPr>
          <w:rFonts w:eastAsia="Times New Roman" w:cs="Times New Roman"/>
          <w:color w:val="000000"/>
          <w:szCs w:val="24"/>
        </w:rPr>
        <w:t xml:space="preserve"> must play a meaningful role</w:t>
      </w:r>
      <w:r>
        <w:rPr>
          <w:rFonts w:eastAsia="Times New Roman" w:cs="Times New Roman"/>
          <w:color w:val="000000"/>
          <w:szCs w:val="24"/>
        </w:rPr>
        <w:t>, with careful attention</w:t>
      </w:r>
      <w:r w:rsidR="009236D0">
        <w:rPr>
          <w:rFonts w:eastAsia="Times New Roman" w:cs="Times New Roman"/>
          <w:color w:val="000000"/>
          <w:szCs w:val="24"/>
        </w:rPr>
        <w:t xml:space="preserve"> paid</w:t>
      </w:r>
      <w:r>
        <w:rPr>
          <w:rFonts w:eastAsia="Times New Roman" w:cs="Times New Roman"/>
          <w:color w:val="000000"/>
          <w:szCs w:val="24"/>
        </w:rPr>
        <w:t xml:space="preserve"> to the level of public standards needed to further support innovation and to address long-known challenges of self-regulation. </w:t>
      </w:r>
    </w:p>
    <w:p w14:paraId="1AAD1850" w14:textId="77777777" w:rsidR="00721628" w:rsidRDefault="00721628" w:rsidP="0008487F">
      <w:pPr>
        <w:spacing w:after="0" w:line="240" w:lineRule="auto"/>
        <w:jc w:val="both"/>
        <w:rPr>
          <w:rFonts w:eastAsia="Times New Roman" w:cs="Times New Roman"/>
          <w:color w:val="000000"/>
          <w:szCs w:val="24"/>
        </w:rPr>
      </w:pPr>
    </w:p>
    <w:p w14:paraId="294B0C0D" w14:textId="2C078023" w:rsidR="00924635" w:rsidRPr="00EC79E0" w:rsidRDefault="00381BDD" w:rsidP="00924635">
      <w:pPr>
        <w:spacing w:after="0" w:line="240" w:lineRule="auto"/>
        <w:ind w:firstLine="720"/>
        <w:jc w:val="both"/>
        <w:rPr>
          <w:rFonts w:eastAsia="Times New Roman" w:cs="Times New Roman"/>
          <w:szCs w:val="24"/>
        </w:rPr>
      </w:pPr>
      <w:commentRangeStart w:id="8"/>
      <w:commentRangeEnd w:id="8"/>
      <w:r>
        <w:rPr>
          <w:rStyle w:val="CommentReference"/>
        </w:rPr>
        <w:commentReference w:id="8"/>
      </w:r>
      <w:r w:rsidR="00ED2555">
        <w:rPr>
          <w:rFonts w:eastAsia="Times New Roman" w:cs="Times New Roman"/>
          <w:color w:val="000000"/>
          <w:szCs w:val="24"/>
        </w:rPr>
        <w:t>Through case studies of the trajectory of self-regulation</w:t>
      </w:r>
      <w:r w:rsidR="00924635" w:rsidRPr="00EC79E0">
        <w:rPr>
          <w:rFonts w:eastAsia="Times New Roman" w:cs="Times New Roman"/>
          <w:color w:val="000000"/>
          <w:szCs w:val="24"/>
        </w:rPr>
        <w:t xml:space="preserve"> in </w:t>
      </w:r>
      <w:r w:rsidR="00BA5104">
        <w:rPr>
          <w:rFonts w:eastAsia="Times New Roman" w:cs="Times New Roman"/>
          <w:color w:val="000000"/>
          <w:szCs w:val="24"/>
        </w:rPr>
        <w:t>nascent and once-nascent industries,</w:t>
      </w:r>
      <w:r w:rsidR="00924635" w:rsidRPr="00EC79E0">
        <w:rPr>
          <w:rFonts w:eastAsia="Times New Roman" w:cs="Times New Roman"/>
          <w:color w:val="000000"/>
          <w:szCs w:val="24"/>
        </w:rPr>
        <w:t xml:space="preserve"> we </w:t>
      </w:r>
      <w:r>
        <w:rPr>
          <w:rFonts w:eastAsia="Times New Roman" w:cs="Times New Roman"/>
          <w:color w:val="000000"/>
          <w:szCs w:val="24"/>
        </w:rPr>
        <w:t>aim</w:t>
      </w:r>
      <w:r w:rsidRPr="00EC79E0">
        <w:rPr>
          <w:rFonts w:eastAsia="Times New Roman" w:cs="Times New Roman"/>
          <w:color w:val="000000"/>
          <w:szCs w:val="24"/>
        </w:rPr>
        <w:t xml:space="preserve"> </w:t>
      </w:r>
      <w:r w:rsidR="00924635" w:rsidRPr="00EC79E0">
        <w:rPr>
          <w:rFonts w:eastAsia="Times New Roman" w:cs="Times New Roman"/>
          <w:color w:val="000000"/>
          <w:szCs w:val="24"/>
        </w:rPr>
        <w:t>to provide new insights into the role that self-regulation</w:t>
      </w:r>
      <w:r>
        <w:rPr>
          <w:rFonts w:eastAsia="Times New Roman" w:cs="Times New Roman"/>
          <w:color w:val="000000"/>
          <w:szCs w:val="24"/>
        </w:rPr>
        <w:t xml:space="preserve">, complemented by public governance, </w:t>
      </w:r>
      <w:r w:rsidR="00924635" w:rsidRPr="00EC79E0">
        <w:rPr>
          <w:rFonts w:eastAsia="Times New Roman" w:cs="Times New Roman"/>
          <w:color w:val="000000"/>
          <w:szCs w:val="24"/>
        </w:rPr>
        <w:t xml:space="preserve">can and ought to play in enabling innovation and coordinated scaling in emerging industries. We also emphasize potential challenges of relying on self-regulation in these domains and the need for </w:t>
      </w:r>
      <w:r>
        <w:rPr>
          <w:rFonts w:eastAsia="Times New Roman" w:cs="Times New Roman"/>
          <w:color w:val="000000"/>
          <w:szCs w:val="24"/>
        </w:rPr>
        <w:t xml:space="preserve">careful design to </w:t>
      </w:r>
      <w:r w:rsidRPr="00EC79E0">
        <w:rPr>
          <w:rFonts w:eastAsia="Times New Roman" w:cs="Times New Roman"/>
          <w:color w:val="000000"/>
          <w:szCs w:val="24"/>
        </w:rPr>
        <w:t>c</w:t>
      </w:r>
      <w:r>
        <w:rPr>
          <w:rFonts w:eastAsia="Times New Roman" w:cs="Times New Roman"/>
          <w:color w:val="000000"/>
          <w:szCs w:val="24"/>
        </w:rPr>
        <w:t>onstruct</w:t>
      </w:r>
      <w:r w:rsidRPr="00EC79E0">
        <w:rPr>
          <w:rFonts w:eastAsia="Times New Roman" w:cs="Times New Roman"/>
          <w:color w:val="000000"/>
          <w:szCs w:val="24"/>
        </w:rPr>
        <w:t xml:space="preserve"> </w:t>
      </w:r>
      <w:r w:rsidR="00924635" w:rsidRPr="00EC79E0">
        <w:rPr>
          <w:rFonts w:eastAsia="Times New Roman" w:cs="Times New Roman"/>
          <w:color w:val="000000"/>
          <w:szCs w:val="24"/>
        </w:rPr>
        <w:t>a glide path for both industry and more traditional, public governance to take the reins.</w:t>
      </w:r>
      <w:r w:rsidR="00980458">
        <w:rPr>
          <w:rFonts w:eastAsia="Times New Roman" w:cs="Times New Roman"/>
          <w:color w:val="000000"/>
          <w:szCs w:val="24"/>
        </w:rPr>
        <w:t xml:space="preserve"> </w:t>
      </w:r>
    </w:p>
    <w:p w14:paraId="3F1A0F16"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 </w:t>
      </w:r>
    </w:p>
    <w:p w14:paraId="7196C9CA" w14:textId="3C5FEF86" w:rsidR="00924635" w:rsidRPr="00EC79E0" w:rsidRDefault="00924635" w:rsidP="0008487F">
      <w:pPr>
        <w:spacing w:after="0" w:line="240" w:lineRule="auto"/>
        <w:jc w:val="both"/>
        <w:rPr>
          <w:rFonts w:eastAsia="Times New Roman" w:cs="Times New Roman"/>
          <w:szCs w:val="24"/>
        </w:rPr>
      </w:pPr>
    </w:p>
    <w:p w14:paraId="40C84770" w14:textId="36A7FC2D" w:rsidR="00924635" w:rsidRPr="00EC79E0" w:rsidRDefault="00DC7C26" w:rsidP="00924635">
      <w:pPr>
        <w:spacing w:after="0" w:line="240" w:lineRule="auto"/>
        <w:ind w:firstLine="720"/>
        <w:jc w:val="both"/>
        <w:rPr>
          <w:rFonts w:eastAsia="Times New Roman" w:cs="Times New Roman"/>
          <w:szCs w:val="24"/>
        </w:rPr>
      </w:pPr>
      <w:r>
        <w:rPr>
          <w:rFonts w:eastAsia="Times New Roman" w:cs="Times New Roman"/>
          <w:color w:val="000000"/>
          <w:szCs w:val="24"/>
        </w:rPr>
        <w:t>This Article unfolds</w:t>
      </w:r>
      <w:r w:rsidR="00924635" w:rsidRPr="00EC79E0">
        <w:rPr>
          <w:rFonts w:eastAsia="Times New Roman" w:cs="Times New Roman"/>
          <w:color w:val="000000"/>
          <w:szCs w:val="24"/>
        </w:rPr>
        <w:t xml:space="preserve"> as follows. Part I of the </w:t>
      </w:r>
      <w:r>
        <w:rPr>
          <w:rFonts w:eastAsia="Times New Roman" w:cs="Times New Roman"/>
          <w:color w:val="000000"/>
          <w:szCs w:val="24"/>
        </w:rPr>
        <w:t>A</w:t>
      </w:r>
      <w:r w:rsidR="00924635" w:rsidRPr="00EC79E0">
        <w:rPr>
          <w:rFonts w:eastAsia="Times New Roman" w:cs="Times New Roman"/>
          <w:color w:val="000000"/>
          <w:szCs w:val="24"/>
        </w:rPr>
        <w:t xml:space="preserve">rticle explores the history of U.S. self-regulatory regimes. Part II analyzes </w:t>
      </w:r>
      <w:r w:rsidR="009236D0">
        <w:rPr>
          <w:rFonts w:eastAsia="Times New Roman" w:cs="Times New Roman"/>
          <w:color w:val="000000"/>
          <w:szCs w:val="24"/>
        </w:rPr>
        <w:t xml:space="preserve">at the level of theory </w:t>
      </w:r>
      <w:r w:rsidR="00924635" w:rsidRPr="00EC79E0">
        <w:rPr>
          <w:rFonts w:eastAsia="Times New Roman" w:cs="Times New Roman"/>
          <w:color w:val="000000"/>
          <w:szCs w:val="24"/>
        </w:rPr>
        <w:t xml:space="preserve">the conditions that </w:t>
      </w:r>
      <w:r w:rsidR="009236D0">
        <w:rPr>
          <w:rFonts w:eastAsia="Times New Roman" w:cs="Times New Roman"/>
          <w:color w:val="000000"/>
          <w:szCs w:val="24"/>
        </w:rPr>
        <w:t xml:space="preserve">likely </w:t>
      </w:r>
      <w:r w:rsidR="00924635" w:rsidRPr="00EC79E0">
        <w:rPr>
          <w:rFonts w:eastAsia="Times New Roman" w:cs="Times New Roman"/>
          <w:color w:val="000000"/>
          <w:szCs w:val="24"/>
        </w:rPr>
        <w:t>tend to support self-regulation</w:t>
      </w:r>
      <w:r w:rsidR="00980458">
        <w:rPr>
          <w:rFonts w:eastAsia="Times New Roman" w:cs="Times New Roman"/>
          <w:color w:val="000000"/>
          <w:szCs w:val="24"/>
        </w:rPr>
        <w:t>, the contexts in which self-regulation may be the most effective,  the extent to which self-regulation can enhance or impede firm performance</w:t>
      </w:r>
      <w:r w:rsidR="00B17C68">
        <w:rPr>
          <w:rFonts w:eastAsia="Times New Roman" w:cs="Times New Roman"/>
          <w:color w:val="000000"/>
          <w:szCs w:val="24"/>
        </w:rPr>
        <w:t xml:space="preserve"> (</w:t>
      </w:r>
      <w:r w:rsidR="00980458">
        <w:rPr>
          <w:rFonts w:eastAsia="Times New Roman" w:cs="Times New Roman"/>
          <w:color w:val="000000"/>
          <w:szCs w:val="24"/>
        </w:rPr>
        <w:t>including firms in emerging, networked industrial sectors</w:t>
      </w:r>
      <w:r w:rsidR="00B17C68">
        <w:rPr>
          <w:rFonts w:eastAsia="Times New Roman" w:cs="Times New Roman"/>
          <w:color w:val="000000"/>
          <w:szCs w:val="24"/>
        </w:rPr>
        <w:t>)</w:t>
      </w:r>
      <w:r w:rsidR="00980458">
        <w:rPr>
          <w:rFonts w:eastAsia="Times New Roman" w:cs="Times New Roman"/>
          <w:color w:val="000000"/>
          <w:szCs w:val="24"/>
        </w:rPr>
        <w:t>, and the optimal balance of public and private standards</w:t>
      </w:r>
      <w:r w:rsidR="00924635" w:rsidRPr="00EC79E0">
        <w:rPr>
          <w:rFonts w:eastAsia="Times New Roman" w:cs="Times New Roman"/>
          <w:color w:val="000000"/>
          <w:szCs w:val="24"/>
        </w:rPr>
        <w:t xml:space="preserve">. Part III is the core of the </w:t>
      </w:r>
      <w:r>
        <w:rPr>
          <w:rFonts w:eastAsia="Times New Roman" w:cs="Times New Roman"/>
          <w:color w:val="000000"/>
          <w:szCs w:val="24"/>
        </w:rPr>
        <w:t>Article</w:t>
      </w:r>
      <w:r w:rsidR="00924635" w:rsidRPr="00EC79E0">
        <w:rPr>
          <w:rFonts w:eastAsia="Times New Roman" w:cs="Times New Roman"/>
          <w:color w:val="000000"/>
          <w:szCs w:val="24"/>
        </w:rPr>
        <w:t>: an empirical investigation of how private standard setting and self-regulation is developing (in the case of hydrogen</w:t>
      </w:r>
      <w:r w:rsidR="00E23D32">
        <w:rPr>
          <w:rFonts w:eastAsia="Times New Roman" w:cs="Times New Roman"/>
          <w:color w:val="000000"/>
          <w:szCs w:val="24"/>
        </w:rPr>
        <w:t xml:space="preserve"> and </w:t>
      </w:r>
      <w:r w:rsidR="002B67E6">
        <w:rPr>
          <w:rFonts w:eastAsia="Times New Roman" w:cs="Times New Roman"/>
          <w:color w:val="000000"/>
          <w:szCs w:val="24"/>
        </w:rPr>
        <w:t>learning language models (</w:t>
      </w:r>
      <w:r w:rsidR="00E23D32">
        <w:rPr>
          <w:rFonts w:eastAsia="Times New Roman" w:cs="Times New Roman"/>
          <w:color w:val="000000"/>
          <w:szCs w:val="24"/>
        </w:rPr>
        <w:t>LLMs</w:t>
      </w:r>
      <w:r w:rsidR="002B67E6">
        <w:rPr>
          <w:rFonts w:eastAsia="Times New Roman" w:cs="Times New Roman"/>
          <w:color w:val="000000"/>
          <w:szCs w:val="24"/>
        </w:rPr>
        <w:t>)</w:t>
      </w:r>
      <w:r w:rsidR="00924635" w:rsidRPr="00EC79E0">
        <w:rPr>
          <w:rFonts w:eastAsia="Times New Roman" w:cs="Times New Roman"/>
          <w:color w:val="000000"/>
          <w:szCs w:val="24"/>
        </w:rPr>
        <w:t>) or has developed (in the case of other areas, such as the Internet</w:t>
      </w:r>
      <w:r w:rsidR="002B67E6">
        <w:rPr>
          <w:rFonts w:eastAsia="Times New Roman" w:cs="Times New Roman"/>
          <w:color w:val="000000"/>
          <w:szCs w:val="24"/>
        </w:rPr>
        <w:t xml:space="preserve"> and </w:t>
      </w:r>
      <w:r w:rsidR="00847433">
        <w:rPr>
          <w:rFonts w:eastAsia="Times New Roman" w:cs="Times New Roman"/>
          <w:color w:val="000000"/>
          <w:szCs w:val="24"/>
        </w:rPr>
        <w:t>hydraulic fracturing</w:t>
      </w:r>
      <w:r w:rsidR="00E23D32">
        <w:rPr>
          <w:rFonts w:eastAsia="Times New Roman" w:cs="Times New Roman"/>
          <w:color w:val="000000"/>
          <w:szCs w:val="24"/>
        </w:rPr>
        <w:t xml:space="preserve">). </w:t>
      </w:r>
      <w:r w:rsidR="00924635" w:rsidRPr="00EC79E0">
        <w:rPr>
          <w:rFonts w:eastAsia="Times New Roman" w:cs="Times New Roman"/>
          <w:color w:val="000000"/>
          <w:szCs w:val="24"/>
        </w:rPr>
        <w:t>We ask and answer questions about how well the theory outlined in Part II matches the reality: that is, how the various standard-setting efforts have been coordinated (or not), how effective the standards seem to have been at resolving the primary risks and technical issues presented by emerging industries, and what can be done to spur a dynamic relationship between industry self-regulation and innovation</w:t>
      </w:r>
      <w:r w:rsidR="00980458">
        <w:rPr>
          <w:rFonts w:eastAsia="Times New Roman" w:cs="Times New Roman"/>
          <w:color w:val="000000"/>
          <w:szCs w:val="24"/>
        </w:rPr>
        <w:t xml:space="preserve"> through public and private standards</w:t>
      </w:r>
      <w:r w:rsidR="00924635" w:rsidRPr="00EC79E0">
        <w:rPr>
          <w:rFonts w:eastAsia="Times New Roman" w:cs="Times New Roman"/>
          <w:color w:val="000000"/>
          <w:szCs w:val="24"/>
        </w:rPr>
        <w:t>. Part IV then offers a synthesis and insights for those thinking about the role of self-regulation in all emerging industries and how self-regulation, alongside public governance, might best spur and support innovation.</w:t>
      </w:r>
    </w:p>
    <w:p w14:paraId="5E6973AB"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lastRenderedPageBreak/>
        <w:t> </w:t>
      </w:r>
    </w:p>
    <w:p w14:paraId="0E875B1D" w14:textId="19D00EF8" w:rsidR="00924635" w:rsidRPr="002710E4" w:rsidRDefault="00924635" w:rsidP="002710E4">
      <w:pPr>
        <w:pStyle w:val="Heading2"/>
        <w:numPr>
          <w:ilvl w:val="0"/>
          <w:numId w:val="27"/>
        </w:numPr>
        <w:rPr>
          <w:rFonts w:eastAsia="Times New Roman"/>
          <w:b w:val="0"/>
          <w:bCs/>
        </w:rPr>
      </w:pPr>
      <w:bookmarkStart w:id="9" w:name="_Toc141791872"/>
      <w:r w:rsidRPr="002710E4">
        <w:rPr>
          <w:rFonts w:eastAsia="Times New Roman"/>
          <w:b w:val="0"/>
          <w:bCs/>
        </w:rPr>
        <w:t>The Role of Self-Regulation in the United States</w:t>
      </w:r>
      <w:bookmarkEnd w:id="9"/>
      <w:r w:rsidRPr="002710E4">
        <w:rPr>
          <w:rFonts w:eastAsia="Times New Roman"/>
          <w:b w:val="0"/>
          <w:bCs/>
        </w:rPr>
        <w:t xml:space="preserve">  </w:t>
      </w:r>
    </w:p>
    <w:p w14:paraId="79BF21E7"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 </w:t>
      </w:r>
    </w:p>
    <w:p w14:paraId="301DC313" w14:textId="4E29119E" w:rsidR="00EB1605" w:rsidRPr="00EC79E0" w:rsidRDefault="00924635" w:rsidP="00403D85">
      <w:pPr>
        <w:spacing w:after="0" w:line="240" w:lineRule="auto"/>
        <w:ind w:firstLine="720"/>
        <w:jc w:val="both"/>
        <w:rPr>
          <w:rFonts w:eastAsia="Times New Roman" w:cs="Times New Roman"/>
          <w:szCs w:val="24"/>
        </w:rPr>
      </w:pPr>
      <w:r w:rsidRPr="00EC79E0">
        <w:rPr>
          <w:rFonts w:eastAsia="Times New Roman" w:cs="Times New Roman"/>
          <w:color w:val="000000"/>
          <w:szCs w:val="24"/>
        </w:rPr>
        <w:t xml:space="preserve">Much regulation in the United States involves a government entity issuing commands and imposing consequences on private firms or individuals. </w:t>
      </w:r>
      <w:r w:rsidR="006C3EC4">
        <w:rPr>
          <w:rFonts w:eastAsia="Times New Roman" w:cs="Times New Roman"/>
          <w:color w:val="000000"/>
          <w:szCs w:val="24"/>
        </w:rPr>
        <w:t>Regulation is in fact a much larger concept, however, and</w:t>
      </w:r>
      <w:r w:rsidRPr="00EC79E0">
        <w:rPr>
          <w:rFonts w:eastAsia="Times New Roman" w:cs="Times New Roman"/>
          <w:color w:val="000000"/>
          <w:szCs w:val="24"/>
        </w:rPr>
        <w:t xml:space="preserve"> </w:t>
      </w:r>
      <w:r w:rsidR="006C3EC4">
        <w:rPr>
          <w:rFonts w:eastAsia="Times New Roman" w:cs="Times New Roman"/>
          <w:color w:val="000000"/>
          <w:szCs w:val="24"/>
        </w:rPr>
        <w:t>“</w:t>
      </w:r>
      <w:r w:rsidRPr="00EC79E0">
        <w:rPr>
          <w:rFonts w:eastAsia="Times New Roman" w:cs="Times New Roman"/>
          <w:color w:val="000000"/>
          <w:szCs w:val="24"/>
        </w:rPr>
        <w:t>encompasses a much broader array of pressures and policies deployed by a variety of actors, both governmental and nongovernmental, to shape the behavior of firms and thereby address market failures and other public problems</w:t>
      </w:r>
      <w:r w:rsidR="00980458">
        <w:rPr>
          <w:rFonts w:eastAsia="Times New Roman" w:cs="Times New Roman"/>
          <w:color w:val="000000"/>
          <w:szCs w:val="24"/>
        </w:rPr>
        <w:t>.</w:t>
      </w:r>
      <w:r w:rsidRPr="00EC79E0">
        <w:rPr>
          <w:rFonts w:eastAsia="Times New Roman" w:cs="Times New Roman"/>
          <w:color w:val="000000"/>
          <w:szCs w:val="24"/>
        </w:rPr>
        <w:t>”</w:t>
      </w:r>
      <w:r w:rsidR="00980458">
        <w:rPr>
          <w:rStyle w:val="FootnoteReference"/>
          <w:rFonts w:eastAsia="Times New Roman" w:cs="Times New Roman"/>
          <w:color w:val="000000"/>
          <w:szCs w:val="24"/>
        </w:rPr>
        <w:footnoteReference w:id="14"/>
      </w:r>
      <w:r w:rsidRPr="00EC79E0">
        <w:rPr>
          <w:rFonts w:eastAsia="Times New Roman" w:cs="Times New Roman"/>
          <w:color w:val="000000"/>
          <w:szCs w:val="24"/>
        </w:rPr>
        <w:t xml:space="preserve"> One deviation from the paradigmatic case of command-and-control regulation is self-regulation, which “refers to any system of regulation in which the regulatory target—either at the individual-firm level or sometimes through an industry association that represents targets—imposes commands and consequences upon itself</w:t>
      </w:r>
      <w:r w:rsidR="00980458">
        <w:rPr>
          <w:rFonts w:eastAsia="Times New Roman" w:cs="Times New Roman"/>
          <w:color w:val="000000"/>
          <w:szCs w:val="24"/>
        </w:rPr>
        <w:t>.</w:t>
      </w:r>
      <w:r w:rsidRPr="00EC79E0">
        <w:rPr>
          <w:rFonts w:eastAsia="Times New Roman" w:cs="Times New Roman"/>
          <w:color w:val="000000"/>
          <w:szCs w:val="24"/>
        </w:rPr>
        <w:t>”</w:t>
      </w:r>
      <w:r w:rsidRPr="00EC79E0">
        <w:rPr>
          <w:rStyle w:val="FootnoteReference"/>
          <w:rFonts w:eastAsia="Times New Roman" w:cs="Times New Roman"/>
          <w:color w:val="000000"/>
          <w:szCs w:val="24"/>
        </w:rPr>
        <w:footnoteReference w:id="15"/>
      </w:r>
      <w:r w:rsidRPr="00EC79E0">
        <w:rPr>
          <w:rFonts w:eastAsia="Times New Roman" w:cs="Times New Roman"/>
          <w:color w:val="000000"/>
          <w:szCs w:val="24"/>
        </w:rPr>
        <w:t xml:space="preserve"> Self-regulation is, in practice, extremely diverse</w:t>
      </w:r>
      <w:r w:rsidR="006C3EC4">
        <w:rPr>
          <w:rFonts w:eastAsia="Times New Roman" w:cs="Times New Roman"/>
          <w:color w:val="000000"/>
          <w:szCs w:val="24"/>
        </w:rPr>
        <w:t>,</w:t>
      </w:r>
      <w:r w:rsidRPr="00EC79E0">
        <w:rPr>
          <w:rFonts w:eastAsia="Times New Roman" w:cs="Times New Roman"/>
          <w:color w:val="000000"/>
          <w:szCs w:val="24"/>
        </w:rPr>
        <w:t xml:space="preserve"> but it is commonly conducted through industry-wide trade associations and SSOs, such as the American National Standards Institute (ANSI), the American Society for Testing and Materials (ASTM), and the American Society for Mechanical Engineers (ASME).</w:t>
      </w:r>
      <w:r w:rsidR="00062A8D">
        <w:rPr>
          <w:rStyle w:val="FootnoteReference"/>
          <w:rFonts w:eastAsia="Times New Roman" w:cs="Times New Roman"/>
          <w:color w:val="000000"/>
          <w:szCs w:val="24"/>
        </w:rPr>
        <w:footnoteReference w:id="16"/>
      </w:r>
      <w:r w:rsidRPr="00EC79E0">
        <w:rPr>
          <w:rFonts w:eastAsia="Times New Roman" w:cs="Times New Roman"/>
          <w:color w:val="000000"/>
          <w:szCs w:val="24"/>
        </w:rPr>
        <w:t xml:space="preserve"> Increasingly, SSOs like the International Organization for Standardization (ISO) play an important role in harmonizing business practices across international boundaries.</w:t>
      </w:r>
      <w:r w:rsidR="0013173D">
        <w:rPr>
          <w:rStyle w:val="FootnoteReference"/>
          <w:rFonts w:eastAsia="Times New Roman" w:cs="Times New Roman"/>
          <w:color w:val="000000"/>
          <w:szCs w:val="24"/>
        </w:rPr>
        <w:footnoteReference w:id="17"/>
      </w:r>
      <w:r w:rsidRPr="00EC79E0">
        <w:rPr>
          <w:rFonts w:eastAsia="Times New Roman" w:cs="Times New Roman"/>
          <w:color w:val="000000"/>
          <w:szCs w:val="24"/>
        </w:rPr>
        <w:t xml:space="preserve"> </w:t>
      </w:r>
      <w:r w:rsidR="00DE09AC">
        <w:rPr>
          <w:rFonts w:eastAsia="Times New Roman" w:cs="Times New Roman"/>
          <w:color w:val="000000"/>
          <w:szCs w:val="24"/>
        </w:rPr>
        <w:t>SROs, too—organizations formed by associations firms to both write and enforce standards for those firms</w:t>
      </w:r>
      <w:r w:rsidR="00FE0D03">
        <w:rPr>
          <w:rFonts w:eastAsia="Times New Roman" w:cs="Times New Roman"/>
          <w:color w:val="000000"/>
          <w:szCs w:val="24"/>
        </w:rPr>
        <w:t>—are similarly common, as explored here, with prominent examples from the financial, energy, and computing sectors.</w:t>
      </w:r>
      <w:r w:rsidR="00EB1605">
        <w:rPr>
          <w:rStyle w:val="FootnoteReference"/>
          <w:rFonts w:eastAsia="Times New Roman" w:cs="Times New Roman"/>
          <w:color w:val="000000"/>
          <w:szCs w:val="24"/>
        </w:rPr>
        <w:footnoteReference w:id="18"/>
      </w:r>
      <w:r w:rsidR="00FE0D03">
        <w:rPr>
          <w:rFonts w:eastAsia="Times New Roman" w:cs="Times New Roman"/>
          <w:color w:val="000000"/>
          <w:szCs w:val="24"/>
        </w:rPr>
        <w:t xml:space="preserve"> </w:t>
      </w:r>
      <w:r w:rsidRPr="00EC79E0">
        <w:rPr>
          <w:rFonts w:eastAsia="Times New Roman" w:cs="Times New Roman"/>
          <w:color w:val="000000"/>
          <w:szCs w:val="24"/>
        </w:rPr>
        <w:t xml:space="preserve">Indeed, self-regulation </w:t>
      </w:r>
      <w:r w:rsidR="0062583C">
        <w:rPr>
          <w:rFonts w:eastAsia="Times New Roman" w:cs="Times New Roman"/>
          <w:color w:val="000000"/>
          <w:szCs w:val="24"/>
        </w:rPr>
        <w:t>by SSOs and SROs is</w:t>
      </w:r>
      <w:r w:rsidRPr="00EC79E0">
        <w:rPr>
          <w:rFonts w:eastAsia="Times New Roman" w:cs="Times New Roman"/>
          <w:color w:val="000000"/>
          <w:szCs w:val="24"/>
        </w:rPr>
        <w:t xml:space="preserve"> pervasive, </w:t>
      </w:r>
      <w:r w:rsidRPr="00EC79E0">
        <w:rPr>
          <w:rFonts w:eastAsia="Times New Roman" w:cs="Times New Roman"/>
          <w:color w:val="000000"/>
          <w:szCs w:val="24"/>
        </w:rPr>
        <w:lastRenderedPageBreak/>
        <w:t>providing critical guidance in sectors ranging from aerospace to consumer products, cannabis, and construction and manufacturing.</w:t>
      </w:r>
      <w:r w:rsidR="0013173D">
        <w:rPr>
          <w:rStyle w:val="FootnoteReference"/>
          <w:rFonts w:eastAsia="Times New Roman" w:cs="Times New Roman"/>
          <w:color w:val="000000"/>
          <w:szCs w:val="24"/>
        </w:rPr>
        <w:footnoteReference w:id="19"/>
      </w:r>
    </w:p>
    <w:p w14:paraId="5171CAE0" w14:textId="5F3531FF" w:rsidR="00924635" w:rsidRPr="00EC79E0" w:rsidRDefault="00FE0D03" w:rsidP="00924635">
      <w:pPr>
        <w:spacing w:after="0" w:line="240" w:lineRule="auto"/>
        <w:jc w:val="both"/>
        <w:rPr>
          <w:rFonts w:eastAsia="Times New Roman" w:cs="Times New Roman"/>
          <w:szCs w:val="24"/>
        </w:rPr>
      </w:pPr>
      <w:commentRangeStart w:id="10"/>
      <w:commentRangeEnd w:id="10"/>
      <w:r>
        <w:rPr>
          <w:rStyle w:val="CommentReference"/>
        </w:rPr>
        <w:commentReference w:id="10"/>
      </w:r>
    </w:p>
    <w:p w14:paraId="0B54CF7E" w14:textId="57A12119" w:rsidR="00AC5EDB" w:rsidRDefault="00924635" w:rsidP="0092463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 xml:space="preserve">Self-regulation has a long and storied history in the United States, and it is poised to become even more important in the coming decades as the need for regulation, particularly in </w:t>
      </w:r>
      <w:r w:rsidR="00083E10">
        <w:rPr>
          <w:rFonts w:eastAsia="Times New Roman" w:cs="Times New Roman"/>
          <w:color w:val="000000"/>
          <w:szCs w:val="24"/>
        </w:rPr>
        <w:t xml:space="preserve">critical, </w:t>
      </w:r>
      <w:r w:rsidRPr="00EC79E0">
        <w:rPr>
          <w:rFonts w:eastAsia="Times New Roman" w:cs="Times New Roman"/>
          <w:color w:val="000000"/>
          <w:szCs w:val="24"/>
        </w:rPr>
        <w:t xml:space="preserve">highly technical areas with coordination challenges, outpaces government’s ability to provide it. One of the more </w:t>
      </w:r>
      <w:r w:rsidR="0066610D">
        <w:rPr>
          <w:rFonts w:eastAsia="Times New Roman" w:cs="Times New Roman"/>
          <w:color w:val="000000"/>
          <w:szCs w:val="24"/>
        </w:rPr>
        <w:t>storied</w:t>
      </w:r>
      <w:r w:rsidR="0066610D" w:rsidRPr="00EC79E0">
        <w:rPr>
          <w:rFonts w:eastAsia="Times New Roman" w:cs="Times New Roman"/>
          <w:color w:val="000000"/>
          <w:szCs w:val="24"/>
        </w:rPr>
        <w:t xml:space="preserve"> </w:t>
      </w:r>
      <w:r w:rsidRPr="00EC79E0">
        <w:rPr>
          <w:rFonts w:eastAsia="Times New Roman" w:cs="Times New Roman"/>
          <w:color w:val="000000"/>
          <w:szCs w:val="24"/>
        </w:rPr>
        <w:t xml:space="preserve">(and studied) </w:t>
      </w:r>
      <w:r w:rsidR="00D61AA0">
        <w:rPr>
          <w:rFonts w:eastAsia="Times New Roman" w:cs="Times New Roman"/>
          <w:color w:val="000000"/>
          <w:szCs w:val="24"/>
        </w:rPr>
        <w:t>loci</w:t>
      </w:r>
      <w:r w:rsidR="00D61AA0" w:rsidRPr="00EC79E0">
        <w:rPr>
          <w:rFonts w:eastAsia="Times New Roman" w:cs="Times New Roman"/>
          <w:color w:val="000000"/>
          <w:szCs w:val="24"/>
        </w:rPr>
        <w:t xml:space="preserve"> </w:t>
      </w:r>
      <w:r w:rsidRPr="00EC79E0">
        <w:rPr>
          <w:rFonts w:eastAsia="Times New Roman" w:cs="Times New Roman"/>
          <w:color w:val="000000"/>
          <w:szCs w:val="24"/>
        </w:rPr>
        <w:t>for self-regulation is the financial sector</w:t>
      </w:r>
      <w:r w:rsidR="00062A8D">
        <w:rPr>
          <w:rFonts w:eastAsia="Times New Roman" w:cs="Times New Roman"/>
          <w:color w:val="000000"/>
          <w:szCs w:val="24"/>
        </w:rPr>
        <w:t>.</w:t>
      </w:r>
      <w:r w:rsidR="00062A8D">
        <w:rPr>
          <w:rStyle w:val="FootnoteReference"/>
          <w:rFonts w:eastAsia="Times New Roman" w:cs="Times New Roman"/>
          <w:color w:val="000000"/>
          <w:szCs w:val="24"/>
        </w:rPr>
        <w:footnoteReference w:id="20"/>
      </w:r>
      <w:r w:rsidRPr="00EC79E0">
        <w:rPr>
          <w:rFonts w:eastAsia="Times New Roman" w:cs="Times New Roman"/>
          <w:color w:val="000000"/>
          <w:szCs w:val="24"/>
        </w:rPr>
        <w:t xml:space="preserve"> Historically, much of the securities industry has been regulated by </w:t>
      </w:r>
      <w:r w:rsidR="0085450F">
        <w:rPr>
          <w:rFonts w:eastAsia="Times New Roman" w:cs="Times New Roman"/>
          <w:color w:val="000000"/>
          <w:szCs w:val="24"/>
        </w:rPr>
        <w:t xml:space="preserve">two </w:t>
      </w:r>
      <w:r w:rsidRPr="00EC79E0">
        <w:rPr>
          <w:rFonts w:eastAsia="Times New Roman" w:cs="Times New Roman"/>
          <w:color w:val="000000"/>
          <w:szCs w:val="24"/>
        </w:rPr>
        <w:t>familiar private organizations—the New York Stock Exchange (NYSE) and the (private) Financial Industry Regulatory Authority (FINRA)—that are loosely overseen by the U.S. Securities and Exchange Commission</w:t>
      </w:r>
      <w:r w:rsidR="00062A8D">
        <w:rPr>
          <w:rFonts w:eastAsia="Times New Roman" w:cs="Times New Roman"/>
          <w:color w:val="000000"/>
          <w:szCs w:val="24"/>
        </w:rPr>
        <w:t>.</w:t>
      </w:r>
      <w:r w:rsidR="00062A8D">
        <w:rPr>
          <w:rStyle w:val="FootnoteReference"/>
          <w:rFonts w:eastAsia="Times New Roman" w:cs="Times New Roman"/>
          <w:color w:val="000000"/>
          <w:szCs w:val="24"/>
        </w:rPr>
        <w:footnoteReference w:id="21"/>
      </w:r>
      <w:r w:rsidRPr="00EC79E0">
        <w:rPr>
          <w:rFonts w:eastAsia="Times New Roman" w:cs="Times New Roman"/>
          <w:color w:val="000000"/>
          <w:szCs w:val="24"/>
        </w:rPr>
        <w:t xml:space="preserve"> FinTech</w:t>
      </w:r>
      <w:r w:rsidR="00CB09C8">
        <w:rPr>
          <w:rFonts w:eastAsia="Times New Roman" w:cs="Times New Roman"/>
          <w:color w:val="000000"/>
          <w:szCs w:val="24"/>
        </w:rPr>
        <w:t>—the practice of using technology in the financial sector—</w:t>
      </w:r>
      <w:r w:rsidRPr="00EC79E0">
        <w:rPr>
          <w:rFonts w:eastAsia="Times New Roman" w:cs="Times New Roman"/>
          <w:color w:val="000000"/>
          <w:szCs w:val="24"/>
        </w:rPr>
        <w:t>is borrowing this model and applying it to new financial services to “increase investor protection and enhance the reputation of the industry</w:t>
      </w:r>
      <w:r w:rsidR="00062A8D">
        <w:rPr>
          <w:rFonts w:eastAsia="Times New Roman" w:cs="Times New Roman"/>
          <w:color w:val="000000"/>
          <w:szCs w:val="24"/>
        </w:rPr>
        <w:t>.</w:t>
      </w:r>
      <w:r w:rsidRPr="00EC79E0">
        <w:rPr>
          <w:rFonts w:eastAsia="Times New Roman" w:cs="Times New Roman"/>
          <w:color w:val="000000"/>
          <w:szCs w:val="24"/>
        </w:rPr>
        <w:t>”</w:t>
      </w:r>
      <w:r w:rsidR="00062A8D">
        <w:rPr>
          <w:rStyle w:val="FootnoteReference"/>
          <w:rFonts w:eastAsia="Times New Roman" w:cs="Times New Roman"/>
          <w:color w:val="000000"/>
          <w:szCs w:val="24"/>
        </w:rPr>
        <w:footnoteReference w:id="22"/>
      </w:r>
      <w:r w:rsidRPr="00EC79E0">
        <w:rPr>
          <w:rFonts w:eastAsia="Times New Roman" w:cs="Times New Roman"/>
          <w:color w:val="000000"/>
          <w:szCs w:val="24"/>
        </w:rPr>
        <w:t xml:space="preserve"> The cannabis industry, too, relies extensively on self-regulation, in part due to federal jurisdictional limits—even hostility—as we discuss below</w:t>
      </w:r>
      <w:r w:rsidR="00062A8D">
        <w:rPr>
          <w:rFonts w:eastAsia="Times New Roman" w:cs="Times New Roman"/>
          <w:color w:val="000000"/>
          <w:szCs w:val="24"/>
        </w:rPr>
        <w:t>.</w:t>
      </w:r>
      <w:bookmarkStart w:id="11" w:name="_Ref142235409"/>
      <w:r w:rsidR="00062A8D">
        <w:rPr>
          <w:rStyle w:val="FootnoteReference"/>
          <w:rFonts w:eastAsia="Times New Roman" w:cs="Times New Roman"/>
          <w:color w:val="000000"/>
          <w:szCs w:val="24"/>
        </w:rPr>
        <w:footnoteReference w:id="23"/>
      </w:r>
      <w:bookmarkEnd w:id="11"/>
      <w:r w:rsidRPr="00EC79E0">
        <w:rPr>
          <w:rFonts w:eastAsia="Times New Roman" w:cs="Times New Roman"/>
          <w:color w:val="000000"/>
          <w:szCs w:val="24"/>
        </w:rPr>
        <w:t xml:space="preserve"> </w:t>
      </w:r>
      <w:r w:rsidR="00AC5EDB">
        <w:rPr>
          <w:rFonts w:eastAsia="Times New Roman" w:cs="Times New Roman"/>
          <w:color w:val="000000"/>
          <w:szCs w:val="24"/>
        </w:rPr>
        <w:t xml:space="preserve"> </w:t>
      </w:r>
      <w:r w:rsidR="00CB09C8">
        <w:rPr>
          <w:rFonts w:eastAsia="Times New Roman" w:cs="Times New Roman"/>
          <w:color w:val="000000"/>
          <w:szCs w:val="24"/>
        </w:rPr>
        <w:t>Highly tec</w:t>
      </w:r>
      <w:r w:rsidR="0085450F">
        <w:rPr>
          <w:rFonts w:eastAsia="Times New Roman" w:cs="Times New Roman"/>
          <w:color w:val="000000"/>
          <w:szCs w:val="24"/>
        </w:rPr>
        <w:t>h</w:t>
      </w:r>
      <w:r w:rsidR="00CB09C8">
        <w:rPr>
          <w:rFonts w:eastAsia="Times New Roman" w:cs="Times New Roman"/>
          <w:color w:val="000000"/>
          <w:szCs w:val="24"/>
        </w:rPr>
        <w:t>nical</w:t>
      </w:r>
      <w:r w:rsidR="00AC5EDB">
        <w:rPr>
          <w:rFonts w:eastAsia="Times New Roman" w:cs="Times New Roman"/>
          <w:color w:val="000000"/>
          <w:szCs w:val="24"/>
        </w:rPr>
        <w:t xml:space="preserve"> industries, such as those involving construction, </w:t>
      </w:r>
      <w:r w:rsidR="002E5860">
        <w:rPr>
          <w:rFonts w:eastAsia="Times New Roman" w:cs="Times New Roman"/>
          <w:color w:val="000000"/>
          <w:szCs w:val="24"/>
        </w:rPr>
        <w:t>writing</w:t>
      </w:r>
      <w:r w:rsidR="00AC5EDB">
        <w:rPr>
          <w:rFonts w:eastAsia="Times New Roman" w:cs="Times New Roman"/>
          <w:color w:val="000000"/>
          <w:szCs w:val="24"/>
        </w:rPr>
        <w:t xml:space="preserve">, and fire protection </w:t>
      </w:r>
      <w:r w:rsidR="002E5860">
        <w:rPr>
          <w:rFonts w:eastAsia="Times New Roman" w:cs="Times New Roman"/>
          <w:color w:val="000000"/>
          <w:szCs w:val="24"/>
        </w:rPr>
        <w:t>for</w:t>
      </w:r>
      <w:r w:rsidR="00AC5EDB">
        <w:rPr>
          <w:rFonts w:eastAsia="Times New Roman" w:cs="Times New Roman"/>
          <w:color w:val="000000"/>
          <w:szCs w:val="24"/>
        </w:rPr>
        <w:t xml:space="preserve"> commercial, industrial, and residential buildings, are r</w:t>
      </w:r>
      <w:r w:rsidR="00265502">
        <w:rPr>
          <w:rFonts w:eastAsia="Times New Roman" w:cs="Times New Roman"/>
          <w:color w:val="000000"/>
          <w:szCs w:val="24"/>
        </w:rPr>
        <w:t>eplete</w:t>
      </w:r>
      <w:r w:rsidR="00AC5EDB">
        <w:rPr>
          <w:rFonts w:eastAsia="Times New Roman" w:cs="Times New Roman"/>
          <w:color w:val="000000"/>
          <w:szCs w:val="24"/>
        </w:rPr>
        <w:t xml:space="preserve"> with private standards, many of which are adopted within and sometimes modified by state </w:t>
      </w:r>
      <w:r w:rsidR="00265502">
        <w:rPr>
          <w:rFonts w:eastAsia="Times New Roman" w:cs="Times New Roman"/>
          <w:color w:val="000000"/>
          <w:szCs w:val="24"/>
        </w:rPr>
        <w:t xml:space="preserve">and municipal </w:t>
      </w:r>
      <w:r w:rsidR="00AC5EDB">
        <w:rPr>
          <w:rFonts w:eastAsia="Times New Roman" w:cs="Times New Roman"/>
          <w:color w:val="000000"/>
          <w:szCs w:val="24"/>
        </w:rPr>
        <w:t>codes.</w:t>
      </w:r>
      <w:r w:rsidR="00182E60">
        <w:rPr>
          <w:rStyle w:val="FootnoteReference"/>
          <w:rFonts w:eastAsia="Times New Roman" w:cs="Times New Roman"/>
          <w:color w:val="000000"/>
          <w:szCs w:val="24"/>
        </w:rPr>
        <w:footnoteReference w:id="24"/>
      </w:r>
      <w:r w:rsidR="00AC5EDB">
        <w:rPr>
          <w:rFonts w:eastAsia="Times New Roman" w:cs="Times New Roman"/>
          <w:color w:val="000000"/>
          <w:szCs w:val="24"/>
        </w:rPr>
        <w:t xml:space="preserve"> </w:t>
      </w:r>
    </w:p>
    <w:p w14:paraId="5EA9BF2E" w14:textId="77777777" w:rsidR="00AC5EDB" w:rsidRDefault="00AC5EDB" w:rsidP="00924635">
      <w:pPr>
        <w:spacing w:after="0" w:line="240" w:lineRule="auto"/>
        <w:ind w:firstLine="720"/>
        <w:jc w:val="both"/>
        <w:rPr>
          <w:rFonts w:eastAsia="Times New Roman" w:cs="Times New Roman"/>
          <w:color w:val="000000"/>
          <w:szCs w:val="24"/>
        </w:rPr>
      </w:pPr>
    </w:p>
    <w:p w14:paraId="1580D695" w14:textId="29FB3E10" w:rsidR="00924635" w:rsidRPr="00403D85" w:rsidRDefault="00924635" w:rsidP="00AC5EDB">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Also worth noting is the substantial amount of self-regulation in the environmental space</w:t>
      </w:r>
      <w:r w:rsidR="00DC7C26">
        <w:rPr>
          <w:rFonts w:eastAsia="Times New Roman" w:cs="Times New Roman"/>
          <w:color w:val="000000"/>
          <w:szCs w:val="24"/>
        </w:rPr>
        <w:t xml:space="preserve"> as a complement to relatively comprehensive public </w:t>
      </w:r>
      <w:r w:rsidR="00DC7C26">
        <w:rPr>
          <w:rFonts w:eastAsia="Times New Roman" w:cs="Times New Roman"/>
          <w:color w:val="000000"/>
          <w:szCs w:val="24"/>
        </w:rPr>
        <w:lastRenderedPageBreak/>
        <w:t>governance</w:t>
      </w:r>
      <w:r w:rsidR="00062A8D">
        <w:rPr>
          <w:rFonts w:eastAsia="Times New Roman" w:cs="Times New Roman"/>
          <w:color w:val="000000"/>
          <w:szCs w:val="24"/>
        </w:rPr>
        <w:t>.</w:t>
      </w:r>
      <w:r w:rsidR="00062A8D">
        <w:rPr>
          <w:rStyle w:val="FootnoteReference"/>
          <w:rFonts w:eastAsia="Times New Roman" w:cs="Times New Roman"/>
          <w:color w:val="000000"/>
          <w:szCs w:val="24"/>
        </w:rPr>
        <w:footnoteReference w:id="25"/>
      </w:r>
      <w:r w:rsidRPr="00EC79E0">
        <w:rPr>
          <w:rFonts w:eastAsia="Times New Roman" w:cs="Times New Roman"/>
          <w:color w:val="000000"/>
          <w:szCs w:val="24"/>
        </w:rPr>
        <w:t xml:space="preserve"> For instance, chemical manufacturers, under the leadership of the Chemical Manufacturers Association, helped institute a program called “Responsible Care” that created “practice codes” to help firms set voluntary performance standards for hazardous chemicals management</w:t>
      </w:r>
      <w:r w:rsidR="00062A8D">
        <w:rPr>
          <w:rFonts w:eastAsia="Times New Roman" w:cs="Times New Roman"/>
          <w:color w:val="000000"/>
          <w:szCs w:val="24"/>
        </w:rPr>
        <w:t>.</w:t>
      </w:r>
      <w:r w:rsidR="00062A8D">
        <w:rPr>
          <w:rStyle w:val="FootnoteReference"/>
          <w:rFonts w:eastAsia="Times New Roman" w:cs="Times New Roman"/>
          <w:color w:val="000000"/>
          <w:szCs w:val="24"/>
        </w:rPr>
        <w:footnoteReference w:id="26"/>
      </w:r>
      <w:r w:rsidR="00AC5EDB">
        <w:rPr>
          <w:rFonts w:eastAsia="Times New Roman" w:cs="Times New Roman"/>
          <w:color w:val="000000"/>
          <w:szCs w:val="24"/>
        </w:rPr>
        <w:t xml:space="preserve"> </w:t>
      </w:r>
      <w:r w:rsidRPr="00EC79E0">
        <w:rPr>
          <w:rFonts w:eastAsia="Times New Roman" w:cs="Times New Roman"/>
          <w:color w:val="000000"/>
          <w:szCs w:val="24"/>
        </w:rPr>
        <w:t>A variety of non-governmental organizations have also helped to spearhead industry self-regulation in sustainable forestry and fishing practices</w:t>
      </w:r>
      <w:r w:rsidR="00062A8D">
        <w:rPr>
          <w:rFonts w:eastAsia="Times New Roman" w:cs="Times New Roman"/>
          <w:color w:val="000000"/>
          <w:szCs w:val="24"/>
        </w:rPr>
        <w:t>.</w:t>
      </w:r>
      <w:r w:rsidR="00062A8D">
        <w:rPr>
          <w:rStyle w:val="FootnoteReference"/>
          <w:rFonts w:eastAsia="Times New Roman" w:cs="Times New Roman"/>
          <w:color w:val="000000"/>
          <w:szCs w:val="24"/>
        </w:rPr>
        <w:footnoteReference w:id="27"/>
      </w:r>
      <w:r w:rsidRPr="00EC79E0">
        <w:rPr>
          <w:rFonts w:eastAsia="Times New Roman" w:cs="Times New Roman"/>
          <w:color w:val="000000"/>
          <w:szCs w:val="24"/>
        </w:rPr>
        <w:t xml:space="preserve"> And much of what Vandenbergh and Gilligan refer to as “private environmental governance,” such as eco-labeling, is an example of self-regulation in response to the threat of climate change</w:t>
      </w:r>
      <w:r w:rsidR="006F62B2">
        <w:rPr>
          <w:rFonts w:eastAsia="Times New Roman" w:cs="Times New Roman"/>
          <w:color w:val="000000"/>
          <w:szCs w:val="24"/>
        </w:rPr>
        <w:t xml:space="preserve"> and other environmental threats</w:t>
      </w:r>
      <w:r w:rsidR="00062A8D">
        <w:rPr>
          <w:rFonts w:eastAsia="Times New Roman" w:cs="Times New Roman"/>
          <w:color w:val="000000"/>
          <w:szCs w:val="24"/>
        </w:rPr>
        <w:t>.</w:t>
      </w:r>
      <w:r w:rsidR="00062A8D">
        <w:rPr>
          <w:rStyle w:val="FootnoteReference"/>
          <w:rFonts w:eastAsia="Times New Roman" w:cs="Times New Roman"/>
          <w:color w:val="000000"/>
          <w:szCs w:val="24"/>
        </w:rPr>
        <w:footnoteReference w:id="28"/>
      </w:r>
      <w:r w:rsidRPr="00EC79E0">
        <w:rPr>
          <w:rFonts w:eastAsia="Times New Roman" w:cs="Times New Roman"/>
          <w:color w:val="000000"/>
          <w:szCs w:val="24"/>
        </w:rPr>
        <w:t xml:space="preserve"> </w:t>
      </w:r>
    </w:p>
    <w:p w14:paraId="0AB4D87D" w14:textId="77777777"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w:t>
      </w:r>
    </w:p>
    <w:p w14:paraId="7887FAFA" w14:textId="2A5B4285" w:rsidR="003A7247" w:rsidRDefault="00924635" w:rsidP="0092463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The energy sector, too, has long relied on industry self-regulation, perhaps in large part due to the technical complexity of many issues that arise in the industry. The argument in favor of self-regulation in highly technical contexts is that the self-regulator possesses “superior knowledge of the subject compared to the government agency</w:t>
      </w:r>
      <w:r w:rsidR="00B6689C">
        <w:rPr>
          <w:rFonts w:eastAsia="Times New Roman" w:cs="Times New Roman"/>
          <w:color w:val="000000"/>
          <w:szCs w:val="24"/>
        </w:rPr>
        <w:t>.</w:t>
      </w:r>
      <w:r w:rsidRPr="00EC79E0">
        <w:rPr>
          <w:rFonts w:eastAsia="Times New Roman" w:cs="Times New Roman"/>
          <w:color w:val="000000"/>
          <w:szCs w:val="24"/>
        </w:rPr>
        <w:t>”</w:t>
      </w:r>
      <w:bookmarkStart w:id="12" w:name="_Ref142233523"/>
      <w:r w:rsidR="00B6689C">
        <w:rPr>
          <w:rStyle w:val="FootnoteReference"/>
          <w:rFonts w:eastAsia="Times New Roman" w:cs="Times New Roman"/>
          <w:color w:val="000000"/>
          <w:szCs w:val="24"/>
        </w:rPr>
        <w:footnoteReference w:id="29"/>
      </w:r>
      <w:bookmarkEnd w:id="12"/>
      <w:r w:rsidRPr="00EC79E0">
        <w:rPr>
          <w:rFonts w:eastAsia="Times New Roman" w:cs="Times New Roman"/>
          <w:color w:val="000000"/>
          <w:szCs w:val="24"/>
        </w:rPr>
        <w:t xml:space="preserve"> Most famously, nuclear power producers turned to self-regulation in the wake of the Three Mile Island near-disaster in 1979, creating the Institute of Nuclear Power Operations (INPO) to manage a performance regulation regime for nuclear safety</w:t>
      </w:r>
      <w:r w:rsidR="00B6689C">
        <w:rPr>
          <w:rFonts w:eastAsia="Times New Roman" w:cs="Times New Roman"/>
          <w:color w:val="000000"/>
          <w:szCs w:val="24"/>
        </w:rPr>
        <w:t>.</w:t>
      </w:r>
      <w:bookmarkStart w:id="13" w:name="_Ref142231432"/>
      <w:r w:rsidR="00B6689C">
        <w:rPr>
          <w:rStyle w:val="FootnoteReference"/>
          <w:rFonts w:eastAsia="Times New Roman" w:cs="Times New Roman"/>
          <w:color w:val="000000"/>
          <w:szCs w:val="24"/>
        </w:rPr>
        <w:footnoteReference w:id="30"/>
      </w:r>
      <w:bookmarkEnd w:id="13"/>
      <w:r w:rsidRPr="00EC79E0">
        <w:rPr>
          <w:rFonts w:eastAsia="Times New Roman" w:cs="Times New Roman"/>
          <w:color w:val="000000"/>
          <w:szCs w:val="24"/>
        </w:rPr>
        <w:t xml:space="preserve"> Less well known are the private “grid regulators” </w:t>
      </w:r>
      <w:r w:rsidR="00DC7C26">
        <w:rPr>
          <w:rFonts w:eastAsia="Times New Roman" w:cs="Times New Roman"/>
          <w:color w:val="000000"/>
          <w:szCs w:val="24"/>
        </w:rPr>
        <w:t>that</w:t>
      </w:r>
      <w:r w:rsidRPr="00EC79E0">
        <w:rPr>
          <w:rFonts w:eastAsia="Times New Roman" w:cs="Times New Roman"/>
          <w:color w:val="000000"/>
          <w:szCs w:val="24"/>
        </w:rPr>
        <w:t xml:space="preserve"> ensure that electric power is reliable and affordable</w:t>
      </w:r>
      <w:r w:rsidR="00C56F6C">
        <w:rPr>
          <w:rFonts w:eastAsia="Times New Roman" w:cs="Times New Roman"/>
          <w:color w:val="000000"/>
          <w:szCs w:val="24"/>
        </w:rPr>
        <w:t>. The</w:t>
      </w:r>
      <w:r w:rsidRPr="00EC79E0">
        <w:rPr>
          <w:rFonts w:eastAsia="Times New Roman" w:cs="Times New Roman"/>
          <w:color w:val="000000"/>
          <w:szCs w:val="24"/>
        </w:rPr>
        <w:t xml:space="preserve"> North American Electricity Reliability Corporation (NERC) helps set standards for reliability and resilience of grid infrastructure</w:t>
      </w:r>
      <w:r w:rsidR="004A76B2">
        <w:rPr>
          <w:rFonts w:eastAsia="Times New Roman" w:cs="Times New Roman"/>
          <w:color w:val="000000"/>
          <w:szCs w:val="24"/>
        </w:rPr>
        <w:t xml:space="preserve">, </w:t>
      </w:r>
      <w:r w:rsidR="007F69A2">
        <w:rPr>
          <w:rFonts w:eastAsia="Times New Roman" w:cs="Times New Roman"/>
          <w:color w:val="000000"/>
          <w:szCs w:val="24"/>
        </w:rPr>
        <w:t>along with reliability standards from the</w:t>
      </w:r>
      <w:r w:rsidR="0051207B">
        <w:rPr>
          <w:rFonts w:eastAsia="Times New Roman" w:cs="Times New Roman"/>
          <w:color w:val="000000"/>
          <w:szCs w:val="24"/>
        </w:rPr>
        <w:t xml:space="preserve"> private</w:t>
      </w:r>
      <w:r w:rsidR="007F69A2">
        <w:rPr>
          <w:rFonts w:eastAsia="Times New Roman" w:cs="Times New Roman"/>
          <w:color w:val="000000"/>
          <w:szCs w:val="24"/>
        </w:rPr>
        <w:t xml:space="preserve"> North American Energy Standards Board.</w:t>
      </w:r>
      <w:bookmarkStart w:id="14" w:name="_Ref142136999"/>
      <w:r w:rsidR="00B6689C">
        <w:rPr>
          <w:rStyle w:val="FootnoteReference"/>
          <w:rFonts w:eastAsia="Times New Roman" w:cs="Times New Roman"/>
          <w:color w:val="000000"/>
          <w:szCs w:val="24"/>
        </w:rPr>
        <w:footnoteReference w:id="31"/>
      </w:r>
      <w:bookmarkEnd w:id="14"/>
      <w:r w:rsidR="0051207B">
        <w:rPr>
          <w:rFonts w:eastAsia="Times New Roman" w:cs="Times New Roman"/>
          <w:color w:val="000000"/>
          <w:szCs w:val="24"/>
        </w:rPr>
        <w:t xml:space="preserve"> A meta-regulator, the Federal Energy Regulatory Commission, oversees NERC’s standard-setting and enforcement, with a </w:t>
      </w:r>
      <w:proofErr w:type="spellStart"/>
      <w:r w:rsidR="0051207B">
        <w:rPr>
          <w:rFonts w:eastAsia="Times New Roman" w:cs="Times New Roman"/>
          <w:color w:val="000000"/>
          <w:szCs w:val="24"/>
        </w:rPr>
        <w:t>health</w:t>
      </w:r>
      <w:proofErr w:type="spellEnd"/>
      <w:r w:rsidR="0051207B">
        <w:rPr>
          <w:rFonts w:eastAsia="Times New Roman" w:cs="Times New Roman"/>
          <w:color w:val="000000"/>
          <w:szCs w:val="24"/>
        </w:rPr>
        <w:t xml:space="preserve"> dose of deference to NERC and </w:t>
      </w:r>
      <w:r w:rsidR="003B0C69">
        <w:rPr>
          <w:rFonts w:eastAsia="Times New Roman" w:cs="Times New Roman"/>
          <w:color w:val="000000"/>
          <w:szCs w:val="24"/>
        </w:rPr>
        <w:t>private sub-entities of NERC called Regional Entities that do much of the organization’s work.</w:t>
      </w:r>
      <w:r w:rsidR="008420A1">
        <w:rPr>
          <w:rStyle w:val="FootnoteReference"/>
          <w:rFonts w:eastAsia="Times New Roman" w:cs="Times New Roman"/>
          <w:color w:val="000000"/>
          <w:szCs w:val="24"/>
        </w:rPr>
        <w:footnoteReference w:id="32"/>
      </w:r>
      <w:r w:rsidRPr="00EC79E0">
        <w:rPr>
          <w:rFonts w:eastAsia="Times New Roman" w:cs="Times New Roman"/>
          <w:color w:val="000000"/>
          <w:szCs w:val="24"/>
        </w:rPr>
        <w:t xml:space="preserve"> </w:t>
      </w:r>
      <w:r w:rsidR="003B0C69">
        <w:rPr>
          <w:rFonts w:eastAsia="Times New Roman" w:cs="Times New Roman"/>
          <w:color w:val="000000"/>
          <w:szCs w:val="24"/>
        </w:rPr>
        <w:t>Additionally,</w:t>
      </w:r>
      <w:r w:rsidR="00160741">
        <w:rPr>
          <w:rFonts w:eastAsia="Times New Roman" w:cs="Times New Roman"/>
          <w:color w:val="000000"/>
          <w:szCs w:val="24"/>
        </w:rPr>
        <w:t xml:space="preserve"> private</w:t>
      </w:r>
      <w:r w:rsidR="003B0C69" w:rsidRPr="00EC79E0">
        <w:rPr>
          <w:rFonts w:eastAsia="Times New Roman" w:cs="Times New Roman"/>
          <w:color w:val="000000"/>
          <w:szCs w:val="24"/>
        </w:rPr>
        <w:t xml:space="preserve"> </w:t>
      </w:r>
      <w:r w:rsidRPr="00EC79E0">
        <w:rPr>
          <w:rFonts w:eastAsia="Times New Roman" w:cs="Times New Roman"/>
          <w:color w:val="000000"/>
          <w:szCs w:val="24"/>
        </w:rPr>
        <w:t xml:space="preserve">Regional Transmission Organizations (RTOs) </w:t>
      </w:r>
      <w:r w:rsidRPr="00EC79E0">
        <w:rPr>
          <w:rFonts w:eastAsia="Times New Roman" w:cs="Times New Roman"/>
          <w:color w:val="000000"/>
          <w:szCs w:val="24"/>
        </w:rPr>
        <w:lastRenderedPageBreak/>
        <w:t>govern</w:t>
      </w:r>
      <w:r w:rsidR="00160741">
        <w:rPr>
          <w:rFonts w:eastAsia="Times New Roman" w:cs="Times New Roman"/>
          <w:color w:val="000000"/>
          <w:szCs w:val="24"/>
        </w:rPr>
        <w:t xml:space="preserve"> electric</w:t>
      </w:r>
      <w:r w:rsidRPr="00EC79E0">
        <w:rPr>
          <w:rFonts w:eastAsia="Times New Roman" w:cs="Times New Roman"/>
          <w:color w:val="000000"/>
          <w:szCs w:val="24"/>
        </w:rPr>
        <w:t xml:space="preserve"> transmission systems and manage markets for wholesale energy on a regional basis</w:t>
      </w:r>
      <w:r w:rsidR="00160741">
        <w:rPr>
          <w:rFonts w:eastAsia="Times New Roman" w:cs="Times New Roman"/>
          <w:color w:val="000000"/>
          <w:szCs w:val="24"/>
        </w:rPr>
        <w:t>, also with (deferential) FERC oversight</w:t>
      </w:r>
      <w:r w:rsidRPr="00EC79E0">
        <w:rPr>
          <w:rFonts w:eastAsia="Times New Roman" w:cs="Times New Roman"/>
          <w:color w:val="000000"/>
          <w:szCs w:val="24"/>
        </w:rPr>
        <w:t>.</w:t>
      </w:r>
      <w:r w:rsidR="00B6689C">
        <w:rPr>
          <w:rStyle w:val="FootnoteReference"/>
          <w:rFonts w:eastAsia="Times New Roman" w:cs="Times New Roman"/>
          <w:color w:val="000000"/>
          <w:szCs w:val="24"/>
        </w:rPr>
        <w:footnoteReference w:id="33"/>
      </w:r>
      <w:r w:rsidRPr="00EC79E0">
        <w:rPr>
          <w:rFonts w:eastAsia="Times New Roman" w:cs="Times New Roman"/>
          <w:color w:val="000000"/>
          <w:szCs w:val="24"/>
        </w:rPr>
        <w:t xml:space="preserve"> </w:t>
      </w:r>
    </w:p>
    <w:p w14:paraId="7E9650E1" w14:textId="77777777" w:rsidR="003A7247" w:rsidRDefault="003A7247" w:rsidP="00924635">
      <w:pPr>
        <w:spacing w:after="0" w:line="240" w:lineRule="auto"/>
        <w:ind w:firstLine="720"/>
        <w:jc w:val="both"/>
        <w:rPr>
          <w:rFonts w:eastAsia="Times New Roman" w:cs="Times New Roman"/>
          <w:color w:val="000000"/>
          <w:szCs w:val="24"/>
        </w:rPr>
      </w:pPr>
    </w:p>
    <w:p w14:paraId="56E1FC64" w14:textId="4254C2C8" w:rsidR="00924635" w:rsidRPr="00EC79E0" w:rsidRDefault="003A7247" w:rsidP="00924635">
      <w:pPr>
        <w:spacing w:after="0" w:line="240" w:lineRule="auto"/>
        <w:ind w:firstLine="720"/>
        <w:jc w:val="both"/>
        <w:rPr>
          <w:rFonts w:eastAsia="Times New Roman" w:cs="Times New Roman"/>
          <w:szCs w:val="24"/>
        </w:rPr>
      </w:pPr>
      <w:r>
        <w:rPr>
          <w:rFonts w:eastAsia="Times New Roman" w:cs="Times New Roman"/>
          <w:color w:val="000000"/>
          <w:szCs w:val="24"/>
        </w:rPr>
        <w:t>Beyond electricity, i</w:t>
      </w:r>
      <w:r w:rsidRPr="00EC79E0">
        <w:rPr>
          <w:rFonts w:eastAsia="Times New Roman" w:cs="Times New Roman"/>
          <w:color w:val="000000"/>
          <w:szCs w:val="24"/>
        </w:rPr>
        <w:t xml:space="preserve">n </w:t>
      </w:r>
      <w:r w:rsidR="00924635" w:rsidRPr="00EC79E0">
        <w:rPr>
          <w:rFonts w:eastAsia="Times New Roman" w:cs="Times New Roman"/>
          <w:color w:val="000000"/>
          <w:szCs w:val="24"/>
        </w:rPr>
        <w:t>the oil and gas production and transportation context, American Petroleum Institute (API) standards—more than 700 of them—govern well construction, drilling, and hydraulic fracturing (now applied to nearly all U.S. gas wells); pipeline and distribution line design and operation; and technologies and practices for waste handling and disposal, covering most components of the oil and gas supply</w:t>
      </w:r>
      <w:r w:rsidR="00B6689C">
        <w:rPr>
          <w:rFonts w:eastAsia="Times New Roman" w:cs="Times New Roman"/>
          <w:color w:val="000000"/>
          <w:szCs w:val="24"/>
        </w:rPr>
        <w:t xml:space="preserve"> chain</w:t>
      </w:r>
      <w:r w:rsidR="00924635" w:rsidRPr="00EC79E0">
        <w:rPr>
          <w:rFonts w:eastAsia="Times New Roman" w:cs="Times New Roman"/>
          <w:color w:val="000000"/>
          <w:szCs w:val="24"/>
        </w:rPr>
        <w:t>.</w:t>
      </w:r>
      <w:bookmarkStart w:id="16" w:name="_Ref142238628"/>
      <w:r w:rsidR="00B6689C">
        <w:rPr>
          <w:rStyle w:val="FootnoteReference"/>
          <w:rFonts w:eastAsia="Times New Roman" w:cs="Times New Roman"/>
          <w:color w:val="000000"/>
          <w:szCs w:val="24"/>
        </w:rPr>
        <w:footnoteReference w:id="34"/>
      </w:r>
      <w:bookmarkEnd w:id="16"/>
      <w:r w:rsidR="00924635" w:rsidRPr="00EC79E0">
        <w:rPr>
          <w:rFonts w:eastAsia="Times New Roman" w:cs="Times New Roman"/>
          <w:color w:val="000000"/>
          <w:szCs w:val="24"/>
        </w:rPr>
        <w:t xml:space="preserve"> Federal and state regulators have incorporated many of these standards directly into public governance.</w:t>
      </w:r>
      <w:bookmarkStart w:id="17" w:name="_Ref142236845"/>
      <w:r w:rsidR="00B6689C">
        <w:rPr>
          <w:rStyle w:val="FootnoteReference"/>
          <w:rFonts w:eastAsia="Times New Roman" w:cs="Times New Roman"/>
          <w:color w:val="000000"/>
          <w:szCs w:val="24"/>
        </w:rPr>
        <w:footnoteReference w:id="35"/>
      </w:r>
      <w:bookmarkEnd w:id="17"/>
    </w:p>
    <w:p w14:paraId="369C5F05" w14:textId="77777777"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w:t>
      </w:r>
    </w:p>
    <w:p w14:paraId="6A72D893" w14:textId="53CE591C" w:rsidR="002710E4" w:rsidRDefault="00924635" w:rsidP="0092463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The emerging hydrogen sector</w:t>
      </w:r>
      <w:r w:rsidR="00C1311D">
        <w:rPr>
          <w:rFonts w:eastAsia="Times New Roman" w:cs="Times New Roman"/>
          <w:color w:val="000000"/>
          <w:szCs w:val="24"/>
        </w:rPr>
        <w:t>—a critical sector to address climate change</w:t>
      </w:r>
      <w:r w:rsidR="00D6115D">
        <w:rPr>
          <w:rFonts w:eastAsia="Times New Roman" w:cs="Times New Roman"/>
          <w:color w:val="000000"/>
          <w:szCs w:val="24"/>
        </w:rPr>
        <w:t>, and one that we also investigate in this Article</w:t>
      </w:r>
      <w:r w:rsidR="00C1311D">
        <w:rPr>
          <w:rFonts w:eastAsia="Times New Roman" w:cs="Times New Roman"/>
          <w:color w:val="000000"/>
          <w:szCs w:val="24"/>
        </w:rPr>
        <w:t>—</w:t>
      </w:r>
      <w:r w:rsidRPr="00EC79E0">
        <w:rPr>
          <w:rFonts w:eastAsia="Times New Roman" w:cs="Times New Roman"/>
          <w:color w:val="000000"/>
          <w:szCs w:val="24"/>
        </w:rPr>
        <w:t xml:space="preserve">will likely be no exception to this history of self-regulation in the energy sector. </w:t>
      </w:r>
      <w:r w:rsidR="00C1311D">
        <w:rPr>
          <w:rFonts w:eastAsia="Times New Roman" w:cs="Times New Roman"/>
          <w:color w:val="000000"/>
          <w:szCs w:val="24"/>
        </w:rPr>
        <w:t>Hydrogen is a fuel produced from natural gas or water that can be stored in tanks or underground and transported by truck, barge, or pipeline for industrial, commercial, and residential uses. With proper modifications and s</w:t>
      </w:r>
      <w:r w:rsidR="007C64C8">
        <w:rPr>
          <w:rFonts w:eastAsia="Times New Roman" w:cs="Times New Roman"/>
          <w:color w:val="000000"/>
          <w:szCs w:val="24"/>
        </w:rPr>
        <w:t xml:space="preserve">afety precautions, hydrogen can be burned or used in lieu of natural gas and other fuels in a residential stove or furnace, industrial </w:t>
      </w:r>
      <w:r w:rsidR="002913DE">
        <w:rPr>
          <w:rFonts w:eastAsia="Times New Roman" w:cs="Times New Roman"/>
          <w:color w:val="000000"/>
          <w:szCs w:val="24"/>
        </w:rPr>
        <w:t xml:space="preserve">boiler or process, or power plant. </w:t>
      </w:r>
      <w:r w:rsidR="007C64C8">
        <w:rPr>
          <w:rFonts w:eastAsia="Times New Roman" w:cs="Times New Roman"/>
          <w:color w:val="000000"/>
          <w:szCs w:val="24"/>
        </w:rPr>
        <w:t xml:space="preserve"> </w:t>
      </w:r>
      <w:r w:rsidR="002913DE" w:rsidRPr="00EC79E0">
        <w:rPr>
          <w:rFonts w:eastAsia="Times New Roman" w:cs="Times New Roman"/>
          <w:color w:val="000000"/>
          <w:szCs w:val="24"/>
        </w:rPr>
        <w:t>Already, major gaps are apparent in existing government regulatory programs designed to address problems in other energy subsectors.</w:t>
      </w:r>
      <w:r w:rsidR="002913DE">
        <w:rPr>
          <w:rFonts w:eastAsia="Times New Roman" w:cs="Times New Roman"/>
          <w:color w:val="000000"/>
          <w:szCs w:val="24"/>
        </w:rPr>
        <w:t xml:space="preserve"> </w:t>
      </w:r>
      <w:r w:rsidRPr="00EC79E0">
        <w:rPr>
          <w:rFonts w:eastAsia="Times New Roman" w:cs="Times New Roman"/>
          <w:color w:val="000000"/>
          <w:szCs w:val="24"/>
        </w:rPr>
        <w:t xml:space="preserve"> For instance, while the Pipeline and Hazardous Materials Safety Administration (PHMSA) has promulgated a trove of safety standards for the construction of pipelines for many hazardous substances, such as natural gas</w:t>
      </w:r>
      <w:r w:rsidR="002913DE">
        <w:rPr>
          <w:rFonts w:eastAsia="Times New Roman" w:cs="Times New Roman"/>
          <w:color w:val="000000"/>
          <w:szCs w:val="24"/>
        </w:rPr>
        <w:t>,</w:t>
      </w:r>
      <w:r w:rsidRPr="00EC79E0">
        <w:rPr>
          <w:rFonts w:eastAsia="Times New Roman" w:cs="Times New Roman"/>
          <w:color w:val="000000"/>
          <w:szCs w:val="24"/>
        </w:rPr>
        <w:t xml:space="preserve"> it has yet to classify hydrogen as a hazardous substance and would, in any event, need to substantially change existing standards to respond to the unique challenges created by hydrogen pipelines with respect to flammability. For the same reasons, the emerging hydrogen industry cannot simply repurpose the many private standards that exist for other subsectors of the energy industry. Additionally, there are no federal provisions indicating whether the federal </w:t>
      </w:r>
      <w:r w:rsidRPr="00EC79E0">
        <w:rPr>
          <w:rFonts w:eastAsia="Times New Roman" w:cs="Times New Roman"/>
          <w:color w:val="000000"/>
          <w:szCs w:val="24"/>
        </w:rPr>
        <w:lastRenderedPageBreak/>
        <w:t xml:space="preserve">government or states will permit interstate </w:t>
      </w:r>
      <w:r w:rsidR="008E254B">
        <w:rPr>
          <w:rFonts w:eastAsia="Times New Roman" w:cs="Times New Roman"/>
          <w:color w:val="000000"/>
          <w:szCs w:val="24"/>
        </w:rPr>
        <w:t>hydrogen</w:t>
      </w:r>
      <w:r w:rsidRPr="00EC79E0">
        <w:rPr>
          <w:rFonts w:eastAsia="Times New Roman" w:cs="Times New Roman"/>
          <w:color w:val="000000"/>
          <w:szCs w:val="24"/>
        </w:rPr>
        <w:t xml:space="preserve"> pipelines or import and export terminals, making it difficult to coordinate the infrastructure buildout necessary to scale the industry</w:t>
      </w:r>
      <w:r w:rsidR="008E254B">
        <w:rPr>
          <w:rFonts w:eastAsia="Times New Roman" w:cs="Times New Roman"/>
          <w:color w:val="000000"/>
          <w:szCs w:val="24"/>
        </w:rPr>
        <w:t>.</w:t>
      </w:r>
      <w:bookmarkStart w:id="18" w:name="_Ref142230771"/>
      <w:r w:rsidRPr="00EC79E0">
        <w:rPr>
          <w:rStyle w:val="FootnoteReference"/>
          <w:rFonts w:eastAsia="Times New Roman" w:cs="Times New Roman"/>
          <w:color w:val="000000"/>
          <w:szCs w:val="24"/>
        </w:rPr>
        <w:footnoteReference w:id="36"/>
      </w:r>
      <w:bookmarkEnd w:id="18"/>
      <w:r w:rsidRPr="00EC79E0">
        <w:rPr>
          <w:rFonts w:eastAsia="Times New Roman" w:cs="Times New Roman"/>
          <w:color w:val="000000"/>
          <w:szCs w:val="24"/>
        </w:rPr>
        <w:t xml:space="preserve"> </w:t>
      </w:r>
    </w:p>
    <w:p w14:paraId="0CF8C058" w14:textId="2AA9ACC8" w:rsidR="001676A4" w:rsidRDefault="001676A4" w:rsidP="00924635">
      <w:pPr>
        <w:spacing w:after="0" w:line="240" w:lineRule="auto"/>
        <w:ind w:firstLine="720"/>
        <w:jc w:val="both"/>
        <w:rPr>
          <w:rFonts w:eastAsia="Times New Roman" w:cs="Times New Roman"/>
          <w:color w:val="000000"/>
          <w:szCs w:val="24"/>
        </w:rPr>
      </w:pPr>
      <w:r>
        <w:rPr>
          <w:rFonts w:eastAsia="Times New Roman" w:cs="Times New Roman"/>
          <w:color w:val="000000"/>
          <w:szCs w:val="24"/>
        </w:rPr>
        <w:t>Another somewhat nascent but rapidly-evolving industry</w:t>
      </w:r>
      <w:r w:rsidR="00FE0D03">
        <w:rPr>
          <w:rFonts w:eastAsia="Times New Roman" w:cs="Times New Roman"/>
          <w:color w:val="000000"/>
          <w:szCs w:val="24"/>
        </w:rPr>
        <w:t xml:space="preserve"> investigated here</w:t>
      </w:r>
      <w:r w:rsidR="001F23CA">
        <w:rPr>
          <w:rFonts w:eastAsia="Times New Roman" w:cs="Times New Roman"/>
          <w:color w:val="000000"/>
          <w:szCs w:val="24"/>
        </w:rPr>
        <w:t xml:space="preserve">—artificial intelligence, and particularly </w:t>
      </w:r>
      <w:r w:rsidR="009B02AA">
        <w:rPr>
          <w:rFonts w:eastAsia="Times New Roman" w:cs="Times New Roman"/>
          <w:color w:val="000000"/>
          <w:szCs w:val="24"/>
        </w:rPr>
        <w:t xml:space="preserve">open </w:t>
      </w:r>
      <w:r w:rsidR="001F23CA">
        <w:rPr>
          <w:rFonts w:eastAsia="Times New Roman" w:cs="Times New Roman"/>
          <w:color w:val="000000"/>
          <w:szCs w:val="24"/>
        </w:rPr>
        <w:t>large language model artificial intelligence such as ChatGPT—is primarily self-regulated</w:t>
      </w:r>
      <w:r w:rsidR="00C353E4">
        <w:rPr>
          <w:rFonts w:eastAsia="Times New Roman" w:cs="Times New Roman"/>
          <w:color w:val="000000"/>
          <w:szCs w:val="24"/>
        </w:rPr>
        <w:t xml:space="preserve"> through </w:t>
      </w:r>
      <w:r w:rsidR="006669BF">
        <w:rPr>
          <w:rFonts w:eastAsia="Times New Roman" w:cs="Times New Roman"/>
          <w:color w:val="000000"/>
          <w:szCs w:val="24"/>
        </w:rPr>
        <w:t xml:space="preserve">an SRO called the </w:t>
      </w:r>
      <w:r w:rsidR="00C353E4">
        <w:rPr>
          <w:rFonts w:eastAsia="Times New Roman" w:cs="Times New Roman"/>
          <w:color w:val="000000"/>
          <w:szCs w:val="24"/>
        </w:rPr>
        <w:t>Frontier Model Forum</w:t>
      </w:r>
      <w:r w:rsidR="006669BF">
        <w:rPr>
          <w:rFonts w:eastAsia="Times New Roman" w:cs="Times New Roman"/>
          <w:color w:val="000000"/>
          <w:szCs w:val="24"/>
        </w:rPr>
        <w:t xml:space="preserve">, </w:t>
      </w:r>
      <w:r w:rsidR="00CA0ADB">
        <w:rPr>
          <w:rFonts w:eastAsia="Times New Roman" w:cs="Times New Roman"/>
          <w:color w:val="000000"/>
          <w:szCs w:val="24"/>
        </w:rPr>
        <w:t>formally launched in July 2023</w:t>
      </w:r>
      <w:r w:rsidR="006669BF">
        <w:rPr>
          <w:rFonts w:eastAsia="Times New Roman" w:cs="Times New Roman"/>
          <w:color w:val="000000"/>
          <w:szCs w:val="24"/>
        </w:rPr>
        <w:t xml:space="preserve"> by the major OpenAI firms</w:t>
      </w:r>
      <w:r w:rsidR="00836B4F">
        <w:rPr>
          <w:rFonts w:eastAsia="Times New Roman" w:cs="Times New Roman"/>
          <w:color w:val="000000"/>
          <w:szCs w:val="24"/>
        </w:rPr>
        <w:t>.</w:t>
      </w:r>
      <w:r w:rsidR="00CA0ADB">
        <w:rPr>
          <w:rStyle w:val="FootnoteReference"/>
          <w:rFonts w:eastAsia="Times New Roman" w:cs="Times New Roman"/>
          <w:color w:val="000000"/>
          <w:szCs w:val="24"/>
        </w:rPr>
        <w:footnoteReference w:id="37"/>
      </w:r>
      <w:r w:rsidR="00836B4F">
        <w:rPr>
          <w:rFonts w:eastAsia="Times New Roman" w:cs="Times New Roman"/>
          <w:color w:val="000000"/>
          <w:szCs w:val="24"/>
        </w:rPr>
        <w:t xml:space="preserve"> This Forum </w:t>
      </w:r>
      <w:r w:rsidR="00953B8C">
        <w:rPr>
          <w:rFonts w:eastAsia="Times New Roman" w:cs="Times New Roman"/>
          <w:color w:val="000000"/>
          <w:szCs w:val="24"/>
        </w:rPr>
        <w:t>researches AI safety, identifies “best practices and standards,” and is designed to support “information sharing among policymakers and industry.”</w:t>
      </w:r>
      <w:r w:rsidR="00FE0D03">
        <w:rPr>
          <w:rStyle w:val="FootnoteReference"/>
          <w:rFonts w:eastAsia="Times New Roman" w:cs="Times New Roman"/>
          <w:color w:val="000000"/>
          <w:szCs w:val="24"/>
        </w:rPr>
        <w:footnoteReference w:id="38"/>
      </w:r>
      <w:r w:rsidR="0092205D">
        <w:rPr>
          <w:rFonts w:eastAsia="Times New Roman" w:cs="Times New Roman"/>
          <w:color w:val="000000"/>
          <w:szCs w:val="24"/>
        </w:rPr>
        <w:t xml:space="preserve"> </w:t>
      </w:r>
    </w:p>
    <w:p w14:paraId="082525A7" w14:textId="7C2946E5" w:rsidR="00AA034C" w:rsidRDefault="00AA034C" w:rsidP="00924635">
      <w:pPr>
        <w:spacing w:after="0" w:line="240" w:lineRule="auto"/>
        <w:ind w:firstLine="720"/>
        <w:jc w:val="both"/>
        <w:rPr>
          <w:rFonts w:eastAsia="Times New Roman" w:cs="Times New Roman"/>
          <w:color w:val="000000"/>
          <w:szCs w:val="24"/>
        </w:rPr>
      </w:pPr>
      <w:r>
        <w:rPr>
          <w:rFonts w:eastAsia="Times New Roman" w:cs="Times New Roman"/>
          <w:color w:val="000000"/>
          <w:szCs w:val="24"/>
        </w:rPr>
        <w:t xml:space="preserve">We could go on, but the basic point is clear by now: self-regulation plays a major role in the U.S. economy, and indeed in the world economy. As part of a core suite of </w:t>
      </w:r>
      <w:r w:rsidR="00E2112D">
        <w:rPr>
          <w:rFonts w:eastAsia="Times New Roman" w:cs="Times New Roman"/>
          <w:color w:val="000000"/>
          <w:szCs w:val="24"/>
        </w:rPr>
        <w:t>“flexible” regulatory tools,</w:t>
      </w:r>
      <w:r w:rsidR="00E2112D">
        <w:rPr>
          <w:rStyle w:val="FootnoteReference"/>
          <w:rFonts w:eastAsia="Times New Roman" w:cs="Times New Roman"/>
          <w:color w:val="000000"/>
          <w:szCs w:val="24"/>
        </w:rPr>
        <w:footnoteReference w:id="39"/>
      </w:r>
      <w:r w:rsidR="00E2112D">
        <w:rPr>
          <w:rFonts w:eastAsia="Times New Roman" w:cs="Times New Roman"/>
          <w:color w:val="000000"/>
          <w:szCs w:val="24"/>
        </w:rPr>
        <w:t xml:space="preserve"> self-regulation has been a key part of a broader societal turn away from state-centered regulation and towards what some have called “responsive regulation”</w:t>
      </w:r>
      <w:r w:rsidR="00E2112D">
        <w:rPr>
          <w:rStyle w:val="FootnoteReference"/>
          <w:rFonts w:eastAsia="Times New Roman" w:cs="Times New Roman"/>
          <w:color w:val="000000"/>
          <w:szCs w:val="24"/>
        </w:rPr>
        <w:footnoteReference w:id="40"/>
      </w:r>
      <w:r w:rsidR="00F43B20">
        <w:rPr>
          <w:rFonts w:eastAsia="Times New Roman" w:cs="Times New Roman"/>
          <w:color w:val="000000"/>
          <w:szCs w:val="24"/>
        </w:rPr>
        <w:t xml:space="preserve"> and “collaborative regulatory governance,”</w:t>
      </w:r>
      <w:r w:rsidR="00F43B20">
        <w:rPr>
          <w:rStyle w:val="FootnoteReference"/>
          <w:rFonts w:eastAsia="Times New Roman" w:cs="Times New Roman"/>
          <w:color w:val="000000"/>
          <w:szCs w:val="24"/>
        </w:rPr>
        <w:footnoteReference w:id="41"/>
      </w:r>
      <w:r w:rsidR="00F43B20">
        <w:rPr>
          <w:rFonts w:eastAsia="Times New Roman" w:cs="Times New Roman"/>
          <w:color w:val="000000"/>
          <w:szCs w:val="24"/>
        </w:rPr>
        <w:t xml:space="preserve"> which includes regulatory action, norm-building, and collaboration by a variety of non-state actors.</w:t>
      </w:r>
      <w:r w:rsidR="00E820FD">
        <w:rPr>
          <w:rFonts w:eastAsia="Times New Roman" w:cs="Times New Roman"/>
          <w:color w:val="000000"/>
          <w:szCs w:val="24"/>
        </w:rPr>
        <w:t xml:space="preserve"> Much of the impetus for self-regulation undoubtedly came from an impulse to deregulate, or at least to dilute the state’s control over regulation. While this legacy is important to appreciate as a historical matter of how we got here, it is also important to realize that self-regulation is now how much regulation is done, and that the </w:t>
      </w:r>
      <w:r w:rsidR="00E820FD">
        <w:rPr>
          <w:rFonts w:eastAsia="Times New Roman" w:cs="Times New Roman"/>
          <w:color w:val="000000"/>
          <w:szCs w:val="24"/>
        </w:rPr>
        <w:lastRenderedPageBreak/>
        <w:t xml:space="preserve">original motivation </w:t>
      </w:r>
      <w:r w:rsidR="00FA6E18">
        <w:rPr>
          <w:rFonts w:eastAsia="Times New Roman" w:cs="Times New Roman"/>
          <w:color w:val="000000"/>
          <w:szCs w:val="24"/>
        </w:rPr>
        <w:t>for self-regulation need not correspond neatly with self-regulation’s actual effects. In the next Part, we suggest that a major function of self-regulation, whether intended or not, is the fostering of the conditions that enable innovation in emerging industries.</w:t>
      </w:r>
    </w:p>
    <w:p w14:paraId="2C2FB5A7" w14:textId="77777777" w:rsidR="002710E4" w:rsidRDefault="002710E4" w:rsidP="00924635">
      <w:pPr>
        <w:spacing w:after="0" w:line="240" w:lineRule="auto"/>
        <w:ind w:firstLine="720"/>
        <w:jc w:val="both"/>
        <w:rPr>
          <w:rFonts w:eastAsia="Times New Roman" w:cs="Times New Roman"/>
          <w:color w:val="000000"/>
          <w:szCs w:val="24"/>
        </w:rPr>
      </w:pPr>
    </w:p>
    <w:p w14:paraId="289F003B" w14:textId="77777777" w:rsidR="00924635" w:rsidRPr="00EC79E0" w:rsidRDefault="00924635" w:rsidP="00924635">
      <w:pPr>
        <w:spacing w:after="0" w:line="240" w:lineRule="auto"/>
        <w:jc w:val="both"/>
        <w:rPr>
          <w:rFonts w:eastAsia="Times New Roman" w:cs="Times New Roman"/>
          <w:szCs w:val="24"/>
        </w:rPr>
      </w:pPr>
    </w:p>
    <w:p w14:paraId="76D895EC" w14:textId="5DB815D1" w:rsidR="00924635" w:rsidRPr="00EC79E0" w:rsidRDefault="00924635" w:rsidP="00523783">
      <w:pPr>
        <w:pStyle w:val="Heading2"/>
        <w:numPr>
          <w:ilvl w:val="0"/>
          <w:numId w:val="27"/>
        </w:numPr>
        <w:rPr>
          <w:rFonts w:eastAsia="Times New Roman"/>
        </w:rPr>
      </w:pPr>
      <w:bookmarkStart w:id="19" w:name="_Toc141791873"/>
      <w:r w:rsidRPr="00EC79E0">
        <w:rPr>
          <w:rFonts w:eastAsia="Times New Roman"/>
        </w:rPr>
        <w:t>Self-Regulation in Emerging Industries</w:t>
      </w:r>
      <w:bookmarkEnd w:id="19"/>
      <w:r w:rsidRPr="00EC79E0">
        <w:rPr>
          <w:rFonts w:eastAsia="Times New Roman"/>
        </w:rPr>
        <w:t xml:space="preserve">  </w:t>
      </w:r>
    </w:p>
    <w:p w14:paraId="6DFC6B4E"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 </w:t>
      </w:r>
    </w:p>
    <w:p w14:paraId="07AD70D2" w14:textId="5E9B1269"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The long history of self-regulation, both in the United States and globally, has produced many lessons on the conditions that have tended to produce successful self-regulatory regimes and why self-regulation worked well in these contexts. </w:t>
      </w:r>
      <w:r w:rsidR="004F39A5">
        <w:rPr>
          <w:rFonts w:eastAsia="Times New Roman" w:cs="Times New Roman"/>
          <w:color w:val="000000"/>
          <w:szCs w:val="24"/>
        </w:rPr>
        <w:t xml:space="preserve">Alongside a hefty literature on these topics, this history has also produced important information about the </w:t>
      </w:r>
      <w:r w:rsidR="00095DEA">
        <w:rPr>
          <w:rFonts w:eastAsia="Times New Roman" w:cs="Times New Roman"/>
          <w:color w:val="000000"/>
          <w:szCs w:val="24"/>
        </w:rPr>
        <w:t xml:space="preserve">proper degree and type of meta-regulation—the layering of public governance atop private standards, </w:t>
      </w:r>
      <w:proofErr w:type="gramStart"/>
      <w:r w:rsidRPr="00EC79E0">
        <w:rPr>
          <w:rFonts w:eastAsia="Times New Roman" w:cs="Times New Roman"/>
          <w:color w:val="000000"/>
          <w:szCs w:val="24"/>
        </w:rPr>
        <w:t>But</w:t>
      </w:r>
      <w:proofErr w:type="gramEnd"/>
      <w:r w:rsidRPr="00EC79E0">
        <w:rPr>
          <w:rFonts w:eastAsia="Times New Roman" w:cs="Times New Roman"/>
          <w:color w:val="000000"/>
          <w:szCs w:val="24"/>
        </w:rPr>
        <w:t xml:space="preserve"> there is a substantial gap in knowledge around innovation, self-regulation</w:t>
      </w:r>
      <w:r w:rsidR="00FA6E18">
        <w:rPr>
          <w:rFonts w:eastAsia="Times New Roman" w:cs="Times New Roman"/>
          <w:color w:val="000000"/>
          <w:szCs w:val="24"/>
        </w:rPr>
        <w:t xml:space="preserve">, </w:t>
      </w:r>
      <w:r w:rsidRPr="00EC79E0">
        <w:rPr>
          <w:rFonts w:eastAsia="Times New Roman" w:cs="Times New Roman"/>
          <w:color w:val="000000"/>
          <w:szCs w:val="24"/>
        </w:rPr>
        <w:t xml:space="preserve">and new industries. This Part analyzes existing knowledge on both successful and failed self-regulatory approaches, fleshes out a theory of </w:t>
      </w:r>
      <w:r w:rsidR="00CD7142">
        <w:rPr>
          <w:rFonts w:eastAsia="Times New Roman" w:cs="Times New Roman"/>
          <w:color w:val="000000"/>
          <w:szCs w:val="24"/>
        </w:rPr>
        <w:t>complementary public and self-regulation</w:t>
      </w:r>
      <w:r w:rsidRPr="00EC79E0">
        <w:rPr>
          <w:rFonts w:eastAsia="Times New Roman" w:cs="Times New Roman"/>
          <w:color w:val="000000"/>
          <w:szCs w:val="24"/>
        </w:rPr>
        <w:t xml:space="preserve"> within nascent economies, and </w:t>
      </w:r>
      <w:r w:rsidR="00CD7142">
        <w:rPr>
          <w:rFonts w:eastAsia="Times New Roman" w:cs="Times New Roman"/>
          <w:color w:val="000000"/>
          <w:szCs w:val="24"/>
        </w:rPr>
        <w:t>identifies</w:t>
      </w:r>
      <w:r w:rsidR="002710E4">
        <w:rPr>
          <w:rFonts w:eastAsia="Times New Roman" w:cs="Times New Roman"/>
          <w:color w:val="000000"/>
          <w:szCs w:val="24"/>
        </w:rPr>
        <w:t xml:space="preserve"> </w:t>
      </w:r>
      <w:r w:rsidRPr="00EC79E0">
        <w:rPr>
          <w:rFonts w:eastAsia="Times New Roman" w:cs="Times New Roman"/>
          <w:color w:val="000000"/>
          <w:szCs w:val="24"/>
        </w:rPr>
        <w:t>theoretical and empirical gaps that remain to be filled.  </w:t>
      </w:r>
    </w:p>
    <w:p w14:paraId="23CDE7E8"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 </w:t>
      </w:r>
    </w:p>
    <w:p w14:paraId="2D466AED" w14:textId="77777777" w:rsidR="00924635" w:rsidRPr="002710E4" w:rsidRDefault="00924635" w:rsidP="00523783">
      <w:pPr>
        <w:pStyle w:val="Heading3"/>
        <w:rPr>
          <w:rFonts w:eastAsia="Times New Roman"/>
        </w:rPr>
      </w:pPr>
      <w:bookmarkStart w:id="20" w:name="_Toc141791874"/>
      <w:r w:rsidRPr="002710E4">
        <w:rPr>
          <w:rFonts w:eastAsia="Times New Roman"/>
        </w:rPr>
        <w:t xml:space="preserve">A. </w:t>
      </w:r>
      <w:r w:rsidRPr="002710E4">
        <w:rPr>
          <w:rFonts w:eastAsia="Times New Roman"/>
        </w:rPr>
        <w:tab/>
        <w:t>General Factors that Support Successful Self-Regulatory Regimes</w:t>
      </w:r>
      <w:bookmarkEnd w:id="20"/>
      <w:r w:rsidRPr="002710E4">
        <w:rPr>
          <w:rFonts w:eastAsia="Times New Roman"/>
        </w:rPr>
        <w:t> </w:t>
      </w:r>
    </w:p>
    <w:p w14:paraId="0180D00E" w14:textId="77777777" w:rsidR="00924635" w:rsidRPr="002710E4" w:rsidRDefault="00924635" w:rsidP="002710E4">
      <w:pPr>
        <w:pStyle w:val="Heading2"/>
        <w:rPr>
          <w:rFonts w:eastAsia="Times New Roman" w:cs="Times New Roman"/>
          <w:szCs w:val="24"/>
        </w:rPr>
      </w:pPr>
      <w:r w:rsidRPr="002710E4">
        <w:rPr>
          <w:rFonts w:eastAsia="Times New Roman" w:cs="Times New Roman"/>
          <w:szCs w:val="24"/>
        </w:rPr>
        <w:t> </w:t>
      </w:r>
    </w:p>
    <w:p w14:paraId="45BA6747" w14:textId="1D291DE8" w:rsidR="00924635" w:rsidRPr="00EC79E0" w:rsidRDefault="00924635" w:rsidP="00EB2CC9">
      <w:pPr>
        <w:spacing w:after="0" w:line="240" w:lineRule="auto"/>
        <w:jc w:val="both"/>
        <w:rPr>
          <w:rFonts w:eastAsia="Times New Roman" w:cs="Times New Roman"/>
          <w:szCs w:val="24"/>
        </w:rPr>
      </w:pPr>
      <w:r w:rsidRPr="00EC79E0">
        <w:rPr>
          <w:rFonts w:eastAsia="Times New Roman" w:cs="Times New Roman"/>
          <w:color w:val="000000"/>
          <w:szCs w:val="24"/>
        </w:rPr>
        <w:tab/>
      </w:r>
      <w:r w:rsidR="00F75BC2">
        <w:rPr>
          <w:rFonts w:eastAsia="Times New Roman" w:cs="Times New Roman"/>
          <w:color w:val="000000"/>
          <w:szCs w:val="24"/>
        </w:rPr>
        <w:t>Self-regulation emerges for a variety of reasons, and its effectiveness depends on an equally varied array of factors, as the literature has explored in depth (typically for established industries).</w:t>
      </w:r>
      <w:r w:rsidRPr="00EC79E0">
        <w:rPr>
          <w:rFonts w:eastAsia="Times New Roman" w:cs="Times New Roman"/>
          <w:color w:val="000000"/>
          <w:szCs w:val="24"/>
        </w:rPr>
        <w:t xml:space="preserve"> The literature links </w:t>
      </w:r>
      <w:r w:rsidR="00F75BC2">
        <w:rPr>
          <w:rFonts w:eastAsia="Times New Roman" w:cs="Times New Roman"/>
          <w:color w:val="000000"/>
          <w:szCs w:val="24"/>
        </w:rPr>
        <w:t xml:space="preserve">drivers of </w:t>
      </w:r>
      <w:r w:rsidRPr="00EC79E0">
        <w:rPr>
          <w:rFonts w:eastAsia="Times New Roman" w:cs="Times New Roman"/>
          <w:color w:val="000000"/>
          <w:szCs w:val="24"/>
        </w:rPr>
        <w:t>self-regulation to pressures such as “non-legal interventions like social movement activism</w:t>
      </w:r>
      <w:r w:rsidR="00F75BC2">
        <w:rPr>
          <w:rFonts w:eastAsia="Times New Roman" w:cs="Times New Roman"/>
          <w:color w:val="000000"/>
          <w:szCs w:val="24"/>
        </w:rPr>
        <w:t>,</w:t>
      </w:r>
      <w:r w:rsidRPr="00EC79E0">
        <w:rPr>
          <w:rFonts w:eastAsia="Times New Roman" w:cs="Times New Roman"/>
          <w:color w:val="000000"/>
          <w:szCs w:val="24"/>
        </w:rPr>
        <w:t>”</w:t>
      </w:r>
      <w:r w:rsidR="00F75BC2">
        <w:rPr>
          <w:rStyle w:val="FootnoteReference"/>
          <w:rFonts w:eastAsia="Times New Roman" w:cs="Times New Roman"/>
          <w:color w:val="000000"/>
          <w:szCs w:val="24"/>
        </w:rPr>
        <w:footnoteReference w:id="42"/>
      </w:r>
      <w:r w:rsidRPr="00EC79E0">
        <w:rPr>
          <w:rFonts w:eastAsia="Times New Roman" w:cs="Times New Roman"/>
          <w:color w:val="000000"/>
          <w:szCs w:val="24"/>
        </w:rPr>
        <w:t xml:space="preserve"> a desire to boost the reputation of an industry,</w:t>
      </w:r>
      <w:r w:rsidR="00F75BC2">
        <w:rPr>
          <w:rStyle w:val="FootnoteReference"/>
          <w:rFonts w:eastAsia="Times New Roman" w:cs="Times New Roman"/>
          <w:color w:val="000000"/>
          <w:szCs w:val="24"/>
        </w:rPr>
        <w:footnoteReference w:id="43"/>
      </w:r>
      <w:r w:rsidRPr="00EC79E0">
        <w:rPr>
          <w:rFonts w:eastAsia="Times New Roman" w:cs="Times New Roman"/>
          <w:color w:val="000000"/>
          <w:szCs w:val="24"/>
        </w:rPr>
        <w:t xml:space="preserve"> attempted avoidance of potential legal liabilities or the threat of more heavy-handed government regulation,</w:t>
      </w:r>
      <w:r w:rsidR="00F75BC2">
        <w:rPr>
          <w:rStyle w:val="FootnoteReference"/>
          <w:rFonts w:eastAsia="Times New Roman" w:cs="Times New Roman"/>
          <w:color w:val="000000"/>
          <w:szCs w:val="24"/>
        </w:rPr>
        <w:footnoteReference w:id="44"/>
      </w:r>
      <w:r w:rsidRPr="00EC79E0">
        <w:rPr>
          <w:rFonts w:eastAsia="Times New Roman" w:cs="Times New Roman"/>
          <w:color w:val="000000"/>
          <w:szCs w:val="24"/>
        </w:rPr>
        <w:t xml:space="preserve"> or a combination of these forces.</w:t>
      </w:r>
      <w:r w:rsidR="00F75BC2">
        <w:rPr>
          <w:rStyle w:val="FootnoteReference"/>
          <w:rFonts w:eastAsia="Times New Roman" w:cs="Times New Roman"/>
          <w:color w:val="000000"/>
          <w:szCs w:val="24"/>
        </w:rPr>
        <w:footnoteReference w:id="45"/>
      </w:r>
      <w:r w:rsidRPr="00EC79E0">
        <w:rPr>
          <w:rFonts w:eastAsia="Times New Roman" w:cs="Times New Roman"/>
          <w:color w:val="000000"/>
          <w:szCs w:val="24"/>
        </w:rPr>
        <w:t xml:space="preserve"> In addition, self-regulation might be a desirable arrangement for government regulators, who may lack the necessary expertise or resources to run a successful regulatory program themselves,</w:t>
      </w:r>
      <w:r w:rsidR="001405CA">
        <w:rPr>
          <w:rStyle w:val="FootnoteReference"/>
          <w:rFonts w:eastAsia="Times New Roman" w:cs="Times New Roman"/>
          <w:color w:val="000000"/>
          <w:szCs w:val="24"/>
        </w:rPr>
        <w:footnoteReference w:id="46"/>
      </w:r>
      <w:r w:rsidRPr="00EC79E0">
        <w:rPr>
          <w:rFonts w:eastAsia="Times New Roman" w:cs="Times New Roman"/>
          <w:color w:val="000000"/>
          <w:szCs w:val="24"/>
        </w:rPr>
        <w:t xml:space="preserve"> or who may see self-regulation </w:t>
      </w:r>
      <w:r w:rsidRPr="00EC79E0">
        <w:rPr>
          <w:rFonts w:eastAsia="Times New Roman" w:cs="Times New Roman"/>
          <w:color w:val="000000"/>
          <w:szCs w:val="24"/>
        </w:rPr>
        <w:lastRenderedPageBreak/>
        <w:t>as a pragmatic style of iterative, flexible regulatory governance.</w:t>
      </w:r>
      <w:r w:rsidR="001405CA">
        <w:rPr>
          <w:rStyle w:val="FootnoteReference"/>
          <w:rFonts w:eastAsia="Times New Roman" w:cs="Times New Roman"/>
          <w:color w:val="000000"/>
          <w:szCs w:val="24"/>
        </w:rPr>
        <w:footnoteReference w:id="47"/>
      </w:r>
      <w:r w:rsidRPr="00EC79E0">
        <w:rPr>
          <w:rFonts w:eastAsia="Times New Roman" w:cs="Times New Roman"/>
          <w:color w:val="000000"/>
          <w:szCs w:val="24"/>
        </w:rPr>
        <w:t xml:space="preserve"> </w:t>
      </w:r>
      <w:r w:rsidR="00EB2CC9">
        <w:rPr>
          <w:rFonts w:eastAsia="Times New Roman" w:cs="Times New Roman"/>
          <w:color w:val="000000"/>
          <w:szCs w:val="24"/>
        </w:rPr>
        <w:t>I</w:t>
      </w:r>
      <w:r w:rsidR="00107CF7">
        <w:rPr>
          <w:rFonts w:eastAsia="Times New Roman" w:cs="Times New Roman"/>
          <w:color w:val="000000"/>
          <w:szCs w:val="24"/>
        </w:rPr>
        <w:t>f self-regulation work</w:t>
      </w:r>
      <w:r w:rsidR="00E331BB">
        <w:rPr>
          <w:rFonts w:eastAsia="Times New Roman" w:cs="Times New Roman"/>
          <w:color w:val="000000"/>
          <w:szCs w:val="24"/>
        </w:rPr>
        <w:t>s</w:t>
      </w:r>
      <w:r w:rsidR="00107CF7">
        <w:rPr>
          <w:rFonts w:eastAsia="Times New Roman" w:cs="Times New Roman"/>
          <w:color w:val="000000"/>
          <w:szCs w:val="24"/>
        </w:rPr>
        <w:t>—</w:t>
      </w:r>
      <w:r w:rsidR="00FA6E18">
        <w:rPr>
          <w:rFonts w:eastAsia="Times New Roman" w:cs="Times New Roman"/>
          <w:color w:val="000000"/>
          <w:szCs w:val="24"/>
        </w:rPr>
        <w:t xml:space="preserve">i.e., </w:t>
      </w:r>
      <w:r w:rsidR="00107CF7">
        <w:rPr>
          <w:rFonts w:eastAsia="Times New Roman" w:cs="Times New Roman"/>
          <w:color w:val="000000"/>
          <w:szCs w:val="24"/>
        </w:rPr>
        <w:t>if the standards address risks and externalities efficiently and effectively and are enforce</w:t>
      </w:r>
      <w:r w:rsidR="00E331BB">
        <w:rPr>
          <w:rFonts w:eastAsia="Times New Roman" w:cs="Times New Roman"/>
          <w:color w:val="000000"/>
          <w:szCs w:val="24"/>
        </w:rPr>
        <w:t>d</w:t>
      </w:r>
      <w:r w:rsidR="00107CF7">
        <w:rPr>
          <w:rFonts w:eastAsia="Times New Roman" w:cs="Times New Roman"/>
          <w:color w:val="000000"/>
          <w:szCs w:val="24"/>
        </w:rPr>
        <w:t xml:space="preserve">—they can offer many benefits.  </w:t>
      </w:r>
      <w:r w:rsidRPr="00EC79E0">
        <w:rPr>
          <w:rFonts w:eastAsia="Times New Roman" w:cs="Times New Roman"/>
          <w:color w:val="000000"/>
          <w:szCs w:val="24"/>
        </w:rPr>
        <w:t>Proponents of self-regulation often tout the “responsiveness” and “reflexivity” of self-regulation as an alternative to traditional models of regulation.</w:t>
      </w:r>
      <w:r w:rsidR="00107CF7">
        <w:rPr>
          <w:rStyle w:val="FootnoteReference"/>
          <w:rFonts w:eastAsia="Times New Roman" w:cs="Times New Roman"/>
          <w:color w:val="000000"/>
          <w:szCs w:val="24"/>
        </w:rPr>
        <w:footnoteReference w:id="48"/>
      </w:r>
      <w:r w:rsidRPr="00EC79E0">
        <w:rPr>
          <w:rFonts w:eastAsia="Times New Roman" w:cs="Times New Roman"/>
          <w:color w:val="000000"/>
          <w:szCs w:val="24"/>
        </w:rPr>
        <w:t xml:space="preserve"> Finally, particularly when it is paired with standardization, self-regulation can provide a stable platform for innovation, although, as we will discuss, this rationale for self-regulation is perhaps the most undertheorized.</w:t>
      </w:r>
      <w:r w:rsidR="00107CF7">
        <w:rPr>
          <w:rStyle w:val="FootnoteReference"/>
          <w:rFonts w:eastAsia="Times New Roman" w:cs="Times New Roman"/>
          <w:color w:val="000000"/>
          <w:szCs w:val="24"/>
        </w:rPr>
        <w:footnoteReference w:id="49"/>
      </w:r>
    </w:p>
    <w:p w14:paraId="1B18DF7F" w14:textId="77777777" w:rsidR="00924635" w:rsidRPr="00EC79E0" w:rsidRDefault="00924635" w:rsidP="00924635">
      <w:pPr>
        <w:spacing w:after="0" w:line="240" w:lineRule="auto"/>
        <w:rPr>
          <w:rFonts w:eastAsia="Times New Roman" w:cs="Times New Roman"/>
          <w:szCs w:val="24"/>
        </w:rPr>
      </w:pPr>
    </w:p>
    <w:p w14:paraId="2442BBC4" w14:textId="60844690"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xml:space="preserve">Despite its </w:t>
      </w:r>
      <w:r w:rsidR="0040573D" w:rsidRPr="00EC79E0">
        <w:rPr>
          <w:rFonts w:eastAsia="Times New Roman" w:cs="Times New Roman"/>
          <w:color w:val="000000"/>
          <w:szCs w:val="24"/>
        </w:rPr>
        <w:t>po</w:t>
      </w:r>
      <w:r w:rsidR="0040573D">
        <w:rPr>
          <w:rFonts w:eastAsia="Times New Roman" w:cs="Times New Roman"/>
          <w:color w:val="000000"/>
          <w:szCs w:val="24"/>
        </w:rPr>
        <w:t xml:space="preserve">tential </w:t>
      </w:r>
      <w:r w:rsidRPr="00EC79E0">
        <w:rPr>
          <w:rFonts w:eastAsia="Times New Roman" w:cs="Times New Roman"/>
          <w:color w:val="000000"/>
          <w:szCs w:val="24"/>
        </w:rPr>
        <w:t>benefits, self-regulation does not always succeed. Studies of the chemical industry’s Responsible Care program suggest that it “largely failed, at least in its early years and at least when measured in terms of reducing members’ toxic emissions</w:t>
      </w:r>
      <w:r w:rsidR="0040573D">
        <w:rPr>
          <w:rFonts w:eastAsia="Times New Roman" w:cs="Times New Roman"/>
          <w:color w:val="000000"/>
          <w:szCs w:val="24"/>
        </w:rPr>
        <w:t>.</w:t>
      </w:r>
      <w:r w:rsidRPr="00EC79E0">
        <w:rPr>
          <w:rFonts w:eastAsia="Times New Roman" w:cs="Times New Roman"/>
          <w:color w:val="000000"/>
          <w:szCs w:val="24"/>
        </w:rPr>
        <w:t>”</w:t>
      </w:r>
      <w:r w:rsidR="0040573D">
        <w:rPr>
          <w:rStyle w:val="FootnoteReference"/>
          <w:rFonts w:eastAsia="Times New Roman" w:cs="Times New Roman"/>
          <w:color w:val="000000"/>
          <w:szCs w:val="24"/>
        </w:rPr>
        <w:footnoteReference w:id="50"/>
      </w:r>
      <w:r w:rsidRPr="00EC79E0">
        <w:rPr>
          <w:rFonts w:eastAsia="Times New Roman" w:cs="Times New Roman"/>
          <w:color w:val="000000"/>
          <w:szCs w:val="24"/>
        </w:rPr>
        <w:t xml:space="preserve"> Indeed, a more recent study of Responsible Care found that plants that participated in the program emitted 15.9 percent more toxic pollution than similar non-participating plants.</w:t>
      </w:r>
      <w:r w:rsidR="0040573D">
        <w:rPr>
          <w:rStyle w:val="FootnoteReference"/>
          <w:rFonts w:eastAsia="Times New Roman" w:cs="Times New Roman"/>
          <w:color w:val="000000"/>
          <w:szCs w:val="24"/>
        </w:rPr>
        <w:footnoteReference w:id="51"/>
      </w:r>
      <w:r w:rsidRPr="00EC79E0">
        <w:rPr>
          <w:rFonts w:eastAsia="Times New Roman" w:cs="Times New Roman"/>
          <w:color w:val="000000"/>
          <w:szCs w:val="24"/>
        </w:rPr>
        <w:t xml:space="preserve"> Naturally, the question arises: Why does self-regulation sometimes work and sometimes not work? On one account, firms develop and join self-regulatory frameworks for their symbolic value and often lack economic incentives to actually change behavior or “raise the bar” above a perfect convergence between self-regulation and managerial objectives.</w:t>
      </w:r>
      <w:r w:rsidR="0040573D">
        <w:rPr>
          <w:rStyle w:val="FootnoteReference"/>
          <w:rFonts w:eastAsia="Times New Roman" w:cs="Times New Roman"/>
          <w:color w:val="000000"/>
          <w:szCs w:val="24"/>
        </w:rPr>
        <w:footnoteReference w:id="52"/>
      </w:r>
      <w:r w:rsidRPr="00EC79E0">
        <w:rPr>
          <w:rFonts w:eastAsia="Times New Roman" w:cs="Times New Roman"/>
          <w:color w:val="000000"/>
          <w:szCs w:val="24"/>
        </w:rPr>
        <w:t xml:space="preserve"> Against this conclusion, some research finds that “the institutional structure that accompanies self-regulation can control behavior through more informal coercive, normative, and mimetic means</w:t>
      </w:r>
      <w:r w:rsidR="0040573D">
        <w:rPr>
          <w:rFonts w:eastAsia="Times New Roman" w:cs="Times New Roman"/>
          <w:color w:val="000000"/>
          <w:szCs w:val="24"/>
        </w:rPr>
        <w:t>.</w:t>
      </w:r>
      <w:r w:rsidRPr="00EC79E0">
        <w:rPr>
          <w:rFonts w:eastAsia="Times New Roman" w:cs="Times New Roman"/>
          <w:color w:val="000000"/>
          <w:szCs w:val="24"/>
        </w:rPr>
        <w:t>”</w:t>
      </w:r>
      <w:r w:rsidR="0040573D">
        <w:rPr>
          <w:rStyle w:val="FootnoteReference"/>
          <w:rFonts w:eastAsia="Times New Roman" w:cs="Times New Roman"/>
          <w:color w:val="000000"/>
          <w:szCs w:val="24"/>
        </w:rPr>
        <w:footnoteReference w:id="53"/>
      </w:r>
      <w:r w:rsidRPr="00EC79E0">
        <w:rPr>
          <w:rFonts w:eastAsia="Times New Roman" w:cs="Times New Roman"/>
          <w:color w:val="000000"/>
          <w:szCs w:val="24"/>
        </w:rPr>
        <w:t xml:space="preserve"> These more informal pressures can, in theory, motivate firms to engage in meaningful self-regulation. However, “[r]</w:t>
      </w:r>
      <w:proofErr w:type="spellStart"/>
      <w:r w:rsidRPr="00EC79E0">
        <w:rPr>
          <w:rFonts w:eastAsia="Times New Roman" w:cs="Times New Roman"/>
          <w:color w:val="000000"/>
          <w:szCs w:val="24"/>
        </w:rPr>
        <w:t>esearch</w:t>
      </w:r>
      <w:proofErr w:type="spellEnd"/>
      <w:r w:rsidRPr="00EC79E0">
        <w:rPr>
          <w:rFonts w:eastAsia="Times New Roman" w:cs="Times New Roman"/>
          <w:color w:val="000000"/>
          <w:szCs w:val="24"/>
        </w:rPr>
        <w:t xml:space="preserve"> has shown that organizations will not reliably self-regulate without the pressure of deterrence</w:t>
      </w:r>
      <w:r w:rsidR="00E83E83">
        <w:rPr>
          <w:rFonts w:eastAsia="Times New Roman" w:cs="Times New Roman"/>
          <w:color w:val="000000"/>
          <w:szCs w:val="24"/>
        </w:rPr>
        <w:t>.</w:t>
      </w:r>
      <w:r w:rsidRPr="00EC79E0">
        <w:rPr>
          <w:rFonts w:eastAsia="Times New Roman" w:cs="Times New Roman"/>
          <w:color w:val="000000"/>
          <w:szCs w:val="24"/>
        </w:rPr>
        <w:t>”</w:t>
      </w:r>
      <w:r w:rsidR="00E83E83">
        <w:rPr>
          <w:rStyle w:val="FootnoteReference"/>
          <w:rFonts w:eastAsia="Times New Roman" w:cs="Times New Roman"/>
          <w:color w:val="000000"/>
          <w:szCs w:val="24"/>
        </w:rPr>
        <w:footnoteReference w:id="54"/>
      </w:r>
      <w:r w:rsidRPr="00EC79E0">
        <w:rPr>
          <w:rFonts w:eastAsia="Times New Roman" w:cs="Times New Roman"/>
          <w:color w:val="000000"/>
          <w:szCs w:val="24"/>
        </w:rPr>
        <w:t xml:space="preserve"> </w:t>
      </w:r>
    </w:p>
    <w:p w14:paraId="2F2A239F" w14:textId="77777777" w:rsidR="00924635" w:rsidRPr="00EC79E0" w:rsidRDefault="00924635" w:rsidP="00924635">
      <w:pPr>
        <w:spacing w:after="0" w:line="240" w:lineRule="auto"/>
        <w:rPr>
          <w:rFonts w:eastAsia="Times New Roman" w:cs="Times New Roman"/>
          <w:szCs w:val="24"/>
        </w:rPr>
      </w:pPr>
    </w:p>
    <w:p w14:paraId="7EA5674B" w14:textId="176BDE69" w:rsidR="00924635" w:rsidRDefault="00924635" w:rsidP="0092463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 xml:space="preserve">While these firm-level studies focus largely on incentives and institutions, it is also the case that characteristics of the regulated industry can </w:t>
      </w:r>
      <w:r w:rsidRPr="00EC79E0">
        <w:rPr>
          <w:rFonts w:eastAsia="Times New Roman" w:cs="Times New Roman"/>
          <w:color w:val="000000"/>
          <w:szCs w:val="24"/>
        </w:rPr>
        <w:lastRenderedPageBreak/>
        <w:t xml:space="preserve">greatly impact self-regulatory governance independent of these other variables. </w:t>
      </w:r>
      <w:r w:rsidR="00EB2CC9">
        <w:rPr>
          <w:rFonts w:eastAsia="Times New Roman" w:cs="Times New Roman"/>
          <w:color w:val="000000"/>
          <w:szCs w:val="24"/>
        </w:rPr>
        <w:t>One strand of the literature examines the firm attributes that must be present to incentivize self-enforcement by firms, observing that self-regulation is likely to be more effective with smaller, more tightly-knit industries that can easily police bad apple firms who might wish to free-ride on the reputational benefits of private standards without actually complying with them.</w:t>
      </w:r>
      <w:r w:rsidR="00EB2CC9">
        <w:rPr>
          <w:rStyle w:val="FootnoteReference"/>
          <w:rFonts w:eastAsia="Times New Roman" w:cs="Times New Roman"/>
          <w:color w:val="000000"/>
          <w:szCs w:val="24"/>
        </w:rPr>
        <w:footnoteReference w:id="55"/>
      </w:r>
      <w:r w:rsidR="00EB2CC9">
        <w:rPr>
          <w:rFonts w:eastAsia="Times New Roman" w:cs="Times New Roman"/>
          <w:color w:val="000000"/>
          <w:szCs w:val="24"/>
        </w:rPr>
        <w:t xml:space="preserve"> </w:t>
      </w:r>
      <w:r w:rsidRPr="00EC79E0">
        <w:rPr>
          <w:rFonts w:eastAsia="Times New Roman" w:cs="Times New Roman"/>
          <w:color w:val="000000"/>
          <w:szCs w:val="24"/>
        </w:rPr>
        <w:t>Again, the Responsible Care program is instructive. Several studies conclude that one reason Responsible Care was less successful than other comparable programs, such as INPO, is that it attempted to coordinate self-regulation across a highly heterogeneous group of firms, some of which had incentives to free ride on the program’s reputational benefits while not actually making meaningful changes to practices.</w:t>
      </w:r>
      <w:r w:rsidR="0040573D">
        <w:rPr>
          <w:rStyle w:val="FootnoteReference"/>
          <w:rFonts w:eastAsia="Times New Roman" w:cs="Times New Roman"/>
          <w:color w:val="000000"/>
          <w:szCs w:val="24"/>
        </w:rPr>
        <w:footnoteReference w:id="56"/>
      </w:r>
      <w:r w:rsidRPr="00EC79E0">
        <w:rPr>
          <w:rFonts w:eastAsia="Times New Roman" w:cs="Times New Roman"/>
          <w:color w:val="000000"/>
          <w:szCs w:val="24"/>
        </w:rPr>
        <w:t xml:space="preserve"> By contrast, INPO involved a “much smaller and more homogeneous” set of firms, which gave “individual firms more of a common interest” and gave industry leaders more power to “rein in potential outlier firms</w:t>
      </w:r>
      <w:r w:rsidR="0040573D">
        <w:rPr>
          <w:rFonts w:eastAsia="Times New Roman" w:cs="Times New Roman"/>
          <w:color w:val="000000"/>
          <w:szCs w:val="24"/>
        </w:rPr>
        <w:t>.</w:t>
      </w:r>
      <w:r w:rsidRPr="00EC79E0">
        <w:rPr>
          <w:rFonts w:eastAsia="Times New Roman" w:cs="Times New Roman"/>
          <w:color w:val="000000"/>
          <w:szCs w:val="24"/>
        </w:rPr>
        <w:t>”</w:t>
      </w:r>
      <w:r w:rsidR="0040573D">
        <w:rPr>
          <w:rStyle w:val="FootnoteReference"/>
          <w:rFonts w:eastAsia="Times New Roman" w:cs="Times New Roman"/>
          <w:color w:val="000000"/>
          <w:szCs w:val="24"/>
        </w:rPr>
        <w:footnoteReference w:id="57"/>
      </w:r>
      <w:r w:rsidRPr="00EC79E0">
        <w:rPr>
          <w:rFonts w:eastAsia="Times New Roman" w:cs="Times New Roman"/>
          <w:color w:val="000000"/>
          <w:szCs w:val="24"/>
        </w:rPr>
        <w:t xml:space="preserve"> As with any collective action problem, the degree to which individual actors have divergent preferences, the more difficult the achievement of a coordinated self-regulatory strategy is likely to be.</w:t>
      </w:r>
      <w:r w:rsidR="0040573D">
        <w:rPr>
          <w:rStyle w:val="FootnoteReference"/>
          <w:rFonts w:eastAsia="Times New Roman" w:cs="Times New Roman"/>
          <w:color w:val="000000"/>
          <w:szCs w:val="24"/>
        </w:rPr>
        <w:footnoteReference w:id="58"/>
      </w:r>
      <w:r w:rsidRPr="00EC79E0">
        <w:rPr>
          <w:rFonts w:eastAsia="Times New Roman" w:cs="Times New Roman"/>
          <w:color w:val="000000"/>
          <w:szCs w:val="24"/>
        </w:rPr>
        <w:t xml:space="preserve"> It is still possible for intra-firm self-regulation to take its place, but these programs are more apt to be scattershot and to fail to drive meaningful behavioral change due to the lack of group pressure.</w:t>
      </w:r>
    </w:p>
    <w:p w14:paraId="0B92FD52" w14:textId="77777777" w:rsidR="007A01C2" w:rsidRDefault="007A01C2" w:rsidP="00924635">
      <w:pPr>
        <w:spacing w:after="0" w:line="240" w:lineRule="auto"/>
        <w:ind w:firstLine="720"/>
        <w:jc w:val="both"/>
        <w:rPr>
          <w:rFonts w:eastAsia="Times New Roman" w:cs="Times New Roman"/>
          <w:color w:val="000000"/>
          <w:szCs w:val="24"/>
        </w:rPr>
      </w:pPr>
    </w:p>
    <w:p w14:paraId="2937DE16" w14:textId="633DF813" w:rsidR="007A01C2" w:rsidRPr="00EC79E0" w:rsidRDefault="007A01C2" w:rsidP="00924635">
      <w:pPr>
        <w:spacing w:after="0" w:line="240" w:lineRule="auto"/>
        <w:ind w:firstLine="720"/>
        <w:jc w:val="both"/>
        <w:rPr>
          <w:rFonts w:eastAsia="Times New Roman" w:cs="Times New Roman"/>
          <w:szCs w:val="24"/>
        </w:rPr>
      </w:pPr>
      <w:r>
        <w:rPr>
          <w:rFonts w:eastAsia="Times New Roman" w:cs="Times New Roman"/>
          <w:color w:val="000000"/>
          <w:szCs w:val="24"/>
        </w:rPr>
        <w:t>The deficiencies of self-regulation</w:t>
      </w:r>
      <w:r w:rsidR="00785D3E">
        <w:rPr>
          <w:rFonts w:eastAsia="Times New Roman" w:cs="Times New Roman"/>
          <w:color w:val="000000"/>
          <w:szCs w:val="24"/>
        </w:rPr>
        <w:t xml:space="preserve"> cannot always be solved internally—say, by tightening lines of communication or connection in an association of firms to address collective action and free-riding. In these cases, the addition of public governance through meta-regulation is often needed</w:t>
      </w:r>
      <w:r w:rsidR="00F54E04">
        <w:rPr>
          <w:rFonts w:eastAsia="Times New Roman" w:cs="Times New Roman"/>
          <w:color w:val="000000"/>
          <w:szCs w:val="24"/>
        </w:rPr>
        <w:t xml:space="preserve">. A </w:t>
      </w:r>
      <w:r w:rsidR="00785D3E">
        <w:rPr>
          <w:rFonts w:eastAsia="Times New Roman" w:cs="Times New Roman"/>
          <w:color w:val="000000"/>
          <w:szCs w:val="24"/>
        </w:rPr>
        <w:t>large literature explores</w:t>
      </w:r>
      <w:r w:rsidR="00F54E04">
        <w:rPr>
          <w:rFonts w:eastAsia="Times New Roman" w:cs="Times New Roman"/>
          <w:color w:val="000000"/>
          <w:szCs w:val="24"/>
        </w:rPr>
        <w:t xml:space="preserve"> the art of balancing private and public involvement in standard-setting.</w:t>
      </w:r>
      <w:r w:rsidR="00964103">
        <w:rPr>
          <w:rFonts w:eastAsia="Times New Roman" w:cs="Times New Roman"/>
          <w:color w:val="000000"/>
          <w:szCs w:val="24"/>
        </w:rPr>
        <w:t xml:space="preserve"> Saule Omarova categorizes a variety of forms of public involvement in the self-regulatory project, such as </w:t>
      </w:r>
      <w:r w:rsidR="0072321B">
        <w:rPr>
          <w:rFonts w:eastAsia="Times New Roman" w:cs="Times New Roman"/>
          <w:color w:val="000000"/>
          <w:szCs w:val="24"/>
        </w:rPr>
        <w:t xml:space="preserve">“sanctioned” self-regulation, in which government actors must approve private rules; </w:t>
      </w:r>
      <w:r w:rsidR="00285FF7">
        <w:rPr>
          <w:rFonts w:eastAsia="Times New Roman" w:cs="Times New Roman"/>
          <w:color w:val="000000"/>
          <w:szCs w:val="24"/>
        </w:rPr>
        <w:t>“mandated” self-regulation in which government requires self-regulation; and</w:t>
      </w:r>
      <w:r w:rsidR="00582BF1">
        <w:rPr>
          <w:rFonts w:eastAsia="Times New Roman" w:cs="Times New Roman"/>
          <w:color w:val="000000"/>
          <w:szCs w:val="24"/>
        </w:rPr>
        <w:t xml:space="preserve"> “co-regulation,” in which </w:t>
      </w:r>
      <w:r w:rsidR="00607FB3">
        <w:rPr>
          <w:rFonts w:eastAsia="Times New Roman" w:cs="Times New Roman"/>
          <w:color w:val="000000"/>
          <w:szCs w:val="24"/>
        </w:rPr>
        <w:t>“public agencies and private market actors cooperate in the creation, implementation, and enforcement of rules.”</w:t>
      </w:r>
      <w:r w:rsidR="00607FB3">
        <w:rPr>
          <w:rStyle w:val="FootnoteReference"/>
          <w:rFonts w:eastAsia="Times New Roman" w:cs="Times New Roman"/>
          <w:color w:val="000000"/>
          <w:szCs w:val="24"/>
        </w:rPr>
        <w:footnoteReference w:id="59"/>
      </w:r>
      <w:r w:rsidR="00285FF7">
        <w:rPr>
          <w:rFonts w:eastAsia="Times New Roman" w:cs="Times New Roman"/>
          <w:color w:val="000000"/>
          <w:szCs w:val="24"/>
        </w:rPr>
        <w:t xml:space="preserve"> </w:t>
      </w:r>
      <w:r w:rsidR="00F7374B">
        <w:rPr>
          <w:rFonts w:eastAsia="Times New Roman" w:cs="Times New Roman"/>
          <w:color w:val="000000"/>
          <w:szCs w:val="24"/>
        </w:rPr>
        <w:t xml:space="preserve"> </w:t>
      </w:r>
      <w:r w:rsidR="0058248F">
        <w:rPr>
          <w:rFonts w:eastAsia="Times New Roman" w:cs="Times New Roman"/>
          <w:color w:val="000000"/>
          <w:szCs w:val="24"/>
        </w:rPr>
        <w:t>In the financial context, James Fanto observes that some types of meta-</w:t>
      </w:r>
      <w:r w:rsidR="0058248F">
        <w:rPr>
          <w:rFonts w:eastAsia="Times New Roman" w:cs="Times New Roman"/>
          <w:color w:val="000000"/>
          <w:szCs w:val="24"/>
        </w:rPr>
        <w:lastRenderedPageBreak/>
        <w:t>regulation—su</w:t>
      </w:r>
      <w:r w:rsidR="0075492E">
        <w:rPr>
          <w:rFonts w:eastAsia="Times New Roman" w:cs="Times New Roman"/>
          <w:color w:val="000000"/>
          <w:szCs w:val="24"/>
        </w:rPr>
        <w:t>ch as a proposed</w:t>
      </w:r>
      <w:r w:rsidR="008960A0">
        <w:rPr>
          <w:rFonts w:eastAsia="Times New Roman" w:cs="Times New Roman"/>
          <w:color w:val="000000"/>
          <w:szCs w:val="24"/>
        </w:rPr>
        <w:t xml:space="preserve"> public</w:t>
      </w:r>
      <w:r w:rsidR="0075492E">
        <w:rPr>
          <w:rFonts w:eastAsia="Times New Roman" w:cs="Times New Roman"/>
          <w:color w:val="000000"/>
          <w:szCs w:val="24"/>
        </w:rPr>
        <w:t xml:space="preserve"> Financial Service Oversight Counci</w:t>
      </w:r>
      <w:r w:rsidR="009834DD">
        <w:rPr>
          <w:rFonts w:eastAsia="Times New Roman" w:cs="Times New Roman"/>
          <w:color w:val="000000"/>
          <w:szCs w:val="24"/>
        </w:rPr>
        <w:t xml:space="preserve">l </w:t>
      </w:r>
      <w:r w:rsidR="008960A0">
        <w:rPr>
          <w:rFonts w:eastAsia="Times New Roman" w:cs="Times New Roman"/>
          <w:color w:val="000000"/>
          <w:szCs w:val="24"/>
        </w:rPr>
        <w:t>assigned</w:t>
      </w:r>
      <w:r w:rsidR="009834DD">
        <w:rPr>
          <w:rFonts w:eastAsia="Times New Roman" w:cs="Times New Roman"/>
          <w:color w:val="000000"/>
          <w:szCs w:val="24"/>
        </w:rPr>
        <w:t xml:space="preserve"> </w:t>
      </w:r>
      <w:r w:rsidR="008960A0">
        <w:rPr>
          <w:rFonts w:eastAsia="Times New Roman" w:cs="Times New Roman"/>
          <w:color w:val="000000"/>
          <w:szCs w:val="24"/>
        </w:rPr>
        <w:t>to project and prevent risks in the financial industry</w:t>
      </w:r>
      <w:r w:rsidR="009834DD">
        <w:rPr>
          <w:rFonts w:eastAsia="Times New Roman" w:cs="Times New Roman"/>
          <w:color w:val="000000"/>
          <w:szCs w:val="24"/>
        </w:rPr>
        <w:t xml:space="preserve">—might </w:t>
      </w:r>
      <w:r w:rsidR="008960A0">
        <w:rPr>
          <w:rFonts w:eastAsia="Times New Roman" w:cs="Times New Roman"/>
          <w:color w:val="000000"/>
          <w:szCs w:val="24"/>
        </w:rPr>
        <w:t xml:space="preserve">simply </w:t>
      </w:r>
      <w:r w:rsidR="009834DD">
        <w:rPr>
          <w:rFonts w:eastAsia="Times New Roman" w:cs="Times New Roman"/>
          <w:color w:val="000000"/>
          <w:szCs w:val="24"/>
        </w:rPr>
        <w:t>reinforce a particular form of top-heavy institution that is unable to accurately predict and respond to risks, whether it is private or public.</w:t>
      </w:r>
      <w:r w:rsidR="00B14BD5">
        <w:rPr>
          <w:rStyle w:val="FootnoteReference"/>
          <w:rFonts w:eastAsia="Times New Roman" w:cs="Times New Roman"/>
          <w:color w:val="000000"/>
          <w:szCs w:val="24"/>
        </w:rPr>
        <w:footnoteReference w:id="60"/>
      </w:r>
      <w:r w:rsidR="009834DD">
        <w:rPr>
          <w:rFonts w:eastAsia="Times New Roman" w:cs="Times New Roman"/>
          <w:color w:val="000000"/>
          <w:szCs w:val="24"/>
        </w:rPr>
        <w:t xml:space="preserve"> </w:t>
      </w:r>
    </w:p>
    <w:p w14:paraId="2A78B4F7" w14:textId="77777777" w:rsidR="00924635" w:rsidRPr="002710E4" w:rsidRDefault="00924635" w:rsidP="00523783">
      <w:pPr>
        <w:pStyle w:val="Heading3"/>
        <w:rPr>
          <w:rFonts w:eastAsia="Times New Roman"/>
        </w:rPr>
      </w:pPr>
    </w:p>
    <w:p w14:paraId="1FAF89A7" w14:textId="0D86789A" w:rsidR="00924635" w:rsidRPr="002710E4" w:rsidRDefault="00924635" w:rsidP="00523783">
      <w:pPr>
        <w:pStyle w:val="Heading3"/>
        <w:ind w:left="720" w:hanging="720"/>
        <w:rPr>
          <w:rFonts w:eastAsia="Times New Roman"/>
        </w:rPr>
      </w:pPr>
      <w:bookmarkStart w:id="22" w:name="_Toc141791875"/>
      <w:r w:rsidRPr="002710E4">
        <w:rPr>
          <w:rFonts w:eastAsia="Times New Roman"/>
        </w:rPr>
        <w:t>B.</w:t>
      </w:r>
      <w:r w:rsidRPr="002710E4">
        <w:rPr>
          <w:rFonts w:eastAsia="Times New Roman"/>
        </w:rPr>
        <w:tab/>
        <w:t>The Distinctive Opportunities and Challenges of Self-Regulation in Emerging Industries</w:t>
      </w:r>
      <w:bookmarkEnd w:id="22"/>
    </w:p>
    <w:p w14:paraId="2C4083A4" w14:textId="77777777" w:rsidR="00924635" w:rsidRPr="00EC79E0" w:rsidRDefault="00924635" w:rsidP="00924635">
      <w:pPr>
        <w:spacing w:after="0" w:line="240" w:lineRule="auto"/>
        <w:rPr>
          <w:rFonts w:eastAsia="Times New Roman" w:cs="Times New Roman"/>
          <w:szCs w:val="24"/>
        </w:rPr>
      </w:pPr>
    </w:p>
    <w:p w14:paraId="2072835E" w14:textId="7617472D" w:rsidR="00924635" w:rsidRPr="00EC79E0" w:rsidRDefault="00924635" w:rsidP="00403D85">
      <w:pPr>
        <w:spacing w:line="240" w:lineRule="auto"/>
        <w:ind w:firstLine="720"/>
        <w:jc w:val="both"/>
        <w:rPr>
          <w:rFonts w:eastAsia="Times New Roman" w:cs="Times New Roman"/>
          <w:szCs w:val="24"/>
        </w:rPr>
      </w:pPr>
      <w:r w:rsidRPr="00EC79E0">
        <w:t>Much of the existing literature on self-regulation reviewed in Part II.A. is cast at a general level. The question typically addressed within this literature is when self-regulation will occur and when it will be successful across a wide range of firms. Due to this focus on generalizable theories, the literature so far has missed some of the distinct questions that arise around self-regulation in emerging industries, where there is a premium on innovation and flexibility, as well as potential network and coordination benefits of self-regulation for scaling up operations. There is a push for self-regulation in specific emerging industries such as the peer-to-peer sharing economy</w:t>
      </w:r>
      <w:r w:rsidR="0040573D">
        <w:rPr>
          <w:rStyle w:val="FootnoteReference"/>
        </w:rPr>
        <w:footnoteReference w:id="61"/>
      </w:r>
      <w:r w:rsidRPr="00EC79E0">
        <w:t xml:space="preserve"> and in FinTech “regulatory sandboxes”</w:t>
      </w:r>
      <w:r w:rsidR="0040573D">
        <w:rPr>
          <w:rStyle w:val="FootnoteReference"/>
        </w:rPr>
        <w:footnoteReference w:id="62"/>
      </w:r>
      <w:r w:rsidR="0040573D">
        <w:t xml:space="preserve"> </w:t>
      </w:r>
      <w:r w:rsidRPr="00EC79E0">
        <w:t>where space for innovation is highly prized. Yet these movements are only beginning to generate theory and evidence in support of a broadly applicable theory of self-regulation in emerging industries. There is a need for more careful thinking about the specific opportunities and challenges of self-regulation</w:t>
      </w:r>
      <w:r w:rsidR="009C539E">
        <w:t xml:space="preserve"> </w:t>
      </w:r>
      <w:r w:rsidRPr="00EC79E0">
        <w:t xml:space="preserve">in emerging </w:t>
      </w:r>
      <w:proofErr w:type="gramStart"/>
      <w:r w:rsidRPr="00EC79E0">
        <w:t>industries,.</w:t>
      </w:r>
      <w:proofErr w:type="gramEnd"/>
      <w:r w:rsidRPr="00EC79E0">
        <w:t xml:space="preserve"> Simply put, self-regulation is likely to play a very different role in industries that are poised to grow substantially than in industries that resort to self-regulation to solve a reputational or legal risk problem. This moves us beyond questions of the effectiveness of self-regulation (such as whether it serves as mere window dressing or a more genuine deterrent to risky industry behavior) to fundamental issues involving the circumstances under which self-regulation is likely to play a fundamental role in supporting industrial development while effectively addressing risks and public concerns associated with such development.   </w:t>
      </w:r>
    </w:p>
    <w:p w14:paraId="64266B7D" w14:textId="4162605B"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 xml:space="preserve">For an emerging industry, it can be difficult if not impossible to spur government institutions to be proactive about supplying needed regulation. The hydrogen industry is a case in point: despite </w:t>
      </w:r>
      <w:r w:rsidR="009C539E">
        <w:rPr>
          <w:rFonts w:eastAsia="Times New Roman" w:cs="Times New Roman"/>
          <w:color w:val="000000"/>
          <w:szCs w:val="24"/>
        </w:rPr>
        <w:t xml:space="preserve">consensus-based </w:t>
      </w:r>
      <w:r w:rsidRPr="00EC79E0">
        <w:rPr>
          <w:rFonts w:eastAsia="Times New Roman" w:cs="Times New Roman"/>
          <w:color w:val="000000"/>
          <w:szCs w:val="24"/>
        </w:rPr>
        <w:t xml:space="preserve">calls for more federal regulatory action to fill gaps in existing regulations created by </w:t>
      </w:r>
      <w:r w:rsidRPr="00EC79E0">
        <w:rPr>
          <w:rFonts w:eastAsia="Times New Roman" w:cs="Times New Roman"/>
          <w:color w:val="000000"/>
          <w:szCs w:val="24"/>
        </w:rPr>
        <w:lastRenderedPageBreak/>
        <w:t>new hydrogen technologies and practices,</w:t>
      </w:r>
      <w:bookmarkStart w:id="23" w:name="_Ref142252968"/>
      <w:r w:rsidR="00CD016C">
        <w:rPr>
          <w:rStyle w:val="FootnoteReference"/>
          <w:rFonts w:eastAsia="Times New Roman" w:cs="Times New Roman"/>
          <w:color w:val="000000"/>
          <w:szCs w:val="24"/>
        </w:rPr>
        <w:footnoteReference w:id="63"/>
      </w:r>
      <w:bookmarkEnd w:id="23"/>
      <w:r w:rsidRPr="00EC79E0">
        <w:rPr>
          <w:rFonts w:eastAsia="Times New Roman" w:cs="Times New Roman"/>
          <w:color w:val="000000"/>
          <w:szCs w:val="24"/>
        </w:rPr>
        <w:t xml:space="preserve"> the federal government has shown limited initiative in taking on even relatively uncontroversial regulatory updates. The combination of scarce resources for regulatory housekeeping and the fact that the hydrogen industry is still in the cradle make it highly unlikely that the federal government will prioritize regulation in this area. Innovation-focused entities such as the National Renewable Energy Laboratory, Argonne National Laboratory, and Sandia National Laboratories have highlighted regulatory progress and gaps, summarized existing standards and regulations, and directly supported efforts to write gap-filling regulations.</w:t>
      </w:r>
      <w:bookmarkStart w:id="24" w:name="_Ref142244991"/>
      <w:r w:rsidR="001843AB">
        <w:rPr>
          <w:rStyle w:val="FootnoteReference"/>
          <w:rFonts w:eastAsia="Times New Roman" w:cs="Times New Roman"/>
          <w:color w:val="000000"/>
          <w:szCs w:val="24"/>
        </w:rPr>
        <w:footnoteReference w:id="64"/>
      </w:r>
      <w:bookmarkEnd w:id="24"/>
      <w:r w:rsidRPr="00EC79E0">
        <w:rPr>
          <w:rFonts w:eastAsia="Times New Roman" w:cs="Times New Roman"/>
          <w:color w:val="000000"/>
          <w:szCs w:val="24"/>
        </w:rPr>
        <w:t xml:space="preserve"> Yet agencies, such as the Federal Energy Regulatory Commission (FERC</w:t>
      </w:r>
      <w:r w:rsidR="001843AB">
        <w:rPr>
          <w:rFonts w:eastAsia="Times New Roman" w:cs="Times New Roman"/>
          <w:color w:val="000000"/>
          <w:szCs w:val="24"/>
        </w:rPr>
        <w:t>)</w:t>
      </w:r>
      <w:r w:rsidRPr="00EC79E0">
        <w:rPr>
          <w:rFonts w:eastAsia="Times New Roman" w:cs="Times New Roman"/>
          <w:color w:val="000000"/>
          <w:szCs w:val="24"/>
        </w:rPr>
        <w:t xml:space="preserve"> and PHMSA</w:t>
      </w:r>
      <w:r w:rsidR="007A01C2">
        <w:t>—</w:t>
      </w:r>
      <w:r w:rsidRPr="00EC79E0">
        <w:rPr>
          <w:rFonts w:eastAsia="Times New Roman" w:cs="Times New Roman"/>
          <w:color w:val="000000"/>
          <w:szCs w:val="24"/>
        </w:rPr>
        <w:t xml:space="preserve"> </w:t>
      </w:r>
      <w:r w:rsidR="007A01C2">
        <w:rPr>
          <w:rFonts w:eastAsia="Times New Roman" w:cs="Times New Roman"/>
          <w:color w:val="000000"/>
          <w:szCs w:val="24"/>
        </w:rPr>
        <w:t xml:space="preserve">which </w:t>
      </w:r>
      <w:r w:rsidRPr="00EC79E0">
        <w:rPr>
          <w:rFonts w:eastAsia="Times New Roman" w:cs="Times New Roman"/>
          <w:color w:val="000000"/>
          <w:szCs w:val="24"/>
        </w:rPr>
        <w:t>control the fundamental regulations in other, more established subsectors of the energy economy</w:t>
      </w:r>
      <w:r w:rsidR="007A01C2">
        <w:t>—</w:t>
      </w:r>
      <w:r w:rsidRPr="00EC79E0">
        <w:rPr>
          <w:rFonts w:eastAsia="Times New Roman" w:cs="Times New Roman"/>
          <w:color w:val="000000"/>
          <w:szCs w:val="24"/>
        </w:rPr>
        <w:t>have made few, if any, meaningful changes to adapt existing frameworks to hydrogen. </w:t>
      </w:r>
    </w:p>
    <w:p w14:paraId="30F6790C" w14:textId="77777777" w:rsidR="00924635" w:rsidRPr="00EC79E0" w:rsidRDefault="00924635" w:rsidP="00924635">
      <w:pPr>
        <w:spacing w:after="0" w:line="240" w:lineRule="auto"/>
        <w:rPr>
          <w:rFonts w:eastAsia="Times New Roman" w:cs="Times New Roman"/>
          <w:szCs w:val="24"/>
        </w:rPr>
      </w:pPr>
    </w:p>
    <w:p w14:paraId="35A54739" w14:textId="7085C4C6" w:rsidR="007A01C2" w:rsidRDefault="00924635" w:rsidP="009001DB">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And even if the federal government were to provide regulatory gap-fillers for the hydrogen industry, it is not necessarily clear that these gap-fillers would be preferable</w:t>
      </w:r>
      <w:r w:rsidR="009C539E">
        <w:rPr>
          <w:rFonts w:eastAsia="Times New Roman" w:cs="Times New Roman"/>
          <w:color w:val="000000"/>
          <w:szCs w:val="24"/>
        </w:rPr>
        <w:t xml:space="preserve"> to a more organic convergence on coordinated industry standards</w:t>
      </w:r>
      <w:r w:rsidRPr="00EC79E0">
        <w:rPr>
          <w:rFonts w:eastAsia="Times New Roman" w:cs="Times New Roman"/>
          <w:color w:val="000000"/>
          <w:szCs w:val="24"/>
        </w:rPr>
        <w:t>. Self-regulation</w:t>
      </w:r>
      <w:r w:rsidR="009C539E">
        <w:rPr>
          <w:rFonts w:eastAsia="Times New Roman" w:cs="Times New Roman"/>
          <w:color w:val="000000"/>
          <w:szCs w:val="24"/>
        </w:rPr>
        <w:t xml:space="preserve">, with its built-in focus on </w:t>
      </w:r>
      <w:r w:rsidRPr="00EC79E0">
        <w:rPr>
          <w:rFonts w:eastAsia="Times New Roman" w:cs="Times New Roman"/>
          <w:color w:val="000000"/>
          <w:szCs w:val="24"/>
        </w:rPr>
        <w:t>efficient, responsive, flexible, comprehensive, and coordinated regulation</w:t>
      </w:r>
      <w:r w:rsidR="009C539E">
        <w:rPr>
          <w:rFonts w:eastAsia="Times New Roman" w:cs="Times New Roman"/>
          <w:color w:val="000000"/>
          <w:szCs w:val="24"/>
        </w:rPr>
        <w:t>, may be better suited for industries that are in rapid stages of evolution and learning</w:t>
      </w:r>
      <w:r w:rsidRPr="00EC79E0">
        <w:rPr>
          <w:rFonts w:eastAsia="Times New Roman" w:cs="Times New Roman"/>
          <w:color w:val="000000"/>
          <w:szCs w:val="24"/>
        </w:rPr>
        <w:t xml:space="preserve">. </w:t>
      </w:r>
      <w:r w:rsidR="009C539E" w:rsidRPr="00EC79E0">
        <w:rPr>
          <w:rFonts w:eastAsia="Times New Roman" w:cs="Times New Roman"/>
          <w:color w:val="000000"/>
          <w:szCs w:val="24"/>
        </w:rPr>
        <w:t>Self-regulatory standards can</w:t>
      </w:r>
      <w:r w:rsidR="009C539E">
        <w:rPr>
          <w:rFonts w:eastAsia="Times New Roman" w:cs="Times New Roman"/>
          <w:color w:val="000000"/>
          <w:szCs w:val="24"/>
        </w:rPr>
        <w:t xml:space="preserve">, in other words, </w:t>
      </w:r>
      <w:r w:rsidR="009C539E" w:rsidRPr="00EC79E0">
        <w:rPr>
          <w:rFonts w:eastAsia="Times New Roman" w:cs="Times New Roman"/>
          <w:color w:val="000000"/>
          <w:szCs w:val="24"/>
        </w:rPr>
        <w:t>strike a delicate balance between regulatory certainty and flexibility–a particularly important feature for emerging industries in which regulatory learning and updating are key.</w:t>
      </w:r>
      <w:r w:rsidR="009C539E">
        <w:rPr>
          <w:rFonts w:eastAsia="Times New Roman" w:cs="Times New Roman"/>
          <w:color w:val="000000"/>
          <w:szCs w:val="24"/>
        </w:rPr>
        <w:t xml:space="preserve"> Likewise, self-regulation might present greater opportunities for more bottom-up competition over standards than a more top-down public governance approach would allow.</w:t>
      </w:r>
      <w:r w:rsidRPr="00EC79E0">
        <w:rPr>
          <w:rFonts w:eastAsia="Times New Roman" w:cs="Times New Roman"/>
          <w:color w:val="000000"/>
          <w:szCs w:val="24"/>
        </w:rPr>
        <w:t xml:space="preserve"> Furthermore, for industries such as hydrogen that produce complex coordination challenges, private actors—particularly SSOs that take a birds-eye view on all facets of an industry, from production through distribution—tend to produce the type of coordinated standards that help to guide all components of an industry forward at the same time. For example, ASTM International, in promoting its comprehensive </w:t>
      </w:r>
      <w:r w:rsidRPr="00EC79E0">
        <w:rPr>
          <w:rFonts w:eastAsia="Times New Roman" w:cs="Times New Roman"/>
          <w:color w:val="000000"/>
          <w:szCs w:val="24"/>
        </w:rPr>
        <w:lastRenderedPageBreak/>
        <w:t>private cannabis standards, boasts a “360-degree approach” to regulating and supporting the expanding industry.</w:t>
      </w:r>
      <w:bookmarkStart w:id="25" w:name="_Ref142235523"/>
      <w:r w:rsidR="007A01C2">
        <w:rPr>
          <w:rStyle w:val="FootnoteReference"/>
          <w:rFonts w:eastAsia="Times New Roman" w:cs="Times New Roman"/>
          <w:color w:val="000000"/>
          <w:szCs w:val="24"/>
        </w:rPr>
        <w:footnoteReference w:id="65"/>
      </w:r>
      <w:bookmarkEnd w:id="25"/>
      <w:r w:rsidRPr="00EC79E0">
        <w:rPr>
          <w:rFonts w:eastAsia="Times New Roman" w:cs="Times New Roman"/>
          <w:color w:val="000000"/>
          <w:szCs w:val="24"/>
        </w:rPr>
        <w:t xml:space="preserve"> </w:t>
      </w:r>
    </w:p>
    <w:p w14:paraId="03373EFF" w14:textId="77777777" w:rsidR="007A01C2" w:rsidRDefault="007A01C2" w:rsidP="009001DB">
      <w:pPr>
        <w:spacing w:after="0" w:line="240" w:lineRule="auto"/>
        <w:ind w:firstLine="720"/>
        <w:jc w:val="both"/>
        <w:rPr>
          <w:rFonts w:eastAsia="Times New Roman" w:cs="Times New Roman"/>
          <w:color w:val="000000"/>
          <w:szCs w:val="24"/>
        </w:rPr>
      </w:pPr>
    </w:p>
    <w:p w14:paraId="7A8E84A4" w14:textId="56DADC3C" w:rsidR="00924635" w:rsidRPr="00EC79E0" w:rsidRDefault="007A01C2" w:rsidP="009001DB">
      <w:pPr>
        <w:spacing w:after="0" w:line="240" w:lineRule="auto"/>
        <w:ind w:firstLine="720"/>
        <w:jc w:val="both"/>
        <w:rPr>
          <w:rFonts w:eastAsia="Times New Roman" w:cs="Times New Roman"/>
          <w:szCs w:val="24"/>
        </w:rPr>
      </w:pPr>
      <w:r>
        <w:rPr>
          <w:rFonts w:eastAsia="Times New Roman" w:cs="Times New Roman"/>
          <w:color w:val="000000"/>
          <w:szCs w:val="24"/>
        </w:rPr>
        <w:t xml:space="preserve">This is not to say that public standards </w:t>
      </w:r>
      <w:r w:rsidR="009C539E">
        <w:rPr>
          <w:rFonts w:eastAsia="Times New Roman" w:cs="Times New Roman"/>
          <w:color w:val="000000"/>
          <w:szCs w:val="24"/>
        </w:rPr>
        <w:t xml:space="preserve">should </w:t>
      </w:r>
      <w:r>
        <w:rPr>
          <w:rFonts w:eastAsia="Times New Roman" w:cs="Times New Roman"/>
          <w:color w:val="000000"/>
          <w:szCs w:val="24"/>
        </w:rPr>
        <w:t>play no role in emerging industries, however. Just as meta-regulation is sometimes needed to address the collective action or free-riding problems associated with industry self-governance, government involvement can address these problems and even spur innovation in the context of emerging industries.</w:t>
      </w:r>
      <w:r w:rsidR="009C539E">
        <w:rPr>
          <w:rFonts w:eastAsia="Times New Roman" w:cs="Times New Roman"/>
          <w:color w:val="000000"/>
          <w:szCs w:val="24"/>
        </w:rPr>
        <w:t xml:space="preserve"> But it is to say that self-regulation may be uniquely well suited to emerging industries, and that the advantages it creates in this domain are worthy of greater attention.</w:t>
      </w:r>
      <w:r>
        <w:rPr>
          <w:rFonts w:eastAsia="Times New Roman" w:cs="Times New Roman"/>
          <w:color w:val="000000"/>
          <w:szCs w:val="24"/>
        </w:rPr>
        <w:t xml:space="preserve"> </w:t>
      </w:r>
      <w:r w:rsidR="00924635" w:rsidRPr="00EC79E0">
        <w:rPr>
          <w:rFonts w:eastAsia="Times New Roman" w:cs="Times New Roman"/>
          <w:color w:val="000000"/>
          <w:szCs w:val="24"/>
        </w:rPr>
        <w:t>In what follows, we highlight and categorize structural advantages like these that can make self-regulation particularly attractive at the early stages of a needed industry’s development</w:t>
      </w:r>
      <w:r>
        <w:rPr>
          <w:rFonts w:eastAsia="Times New Roman" w:cs="Times New Roman"/>
          <w:color w:val="000000"/>
          <w:szCs w:val="24"/>
        </w:rPr>
        <w:t xml:space="preserve">, and we explore the complementary role of public governance. </w:t>
      </w:r>
    </w:p>
    <w:p w14:paraId="48838C20" w14:textId="77777777" w:rsidR="00924635" w:rsidRPr="00EC79E0" w:rsidRDefault="00924635" w:rsidP="00924635">
      <w:pPr>
        <w:spacing w:after="0" w:line="240" w:lineRule="auto"/>
        <w:rPr>
          <w:rFonts w:eastAsia="Times New Roman" w:cs="Times New Roman"/>
          <w:szCs w:val="24"/>
        </w:rPr>
      </w:pPr>
    </w:p>
    <w:p w14:paraId="79A38DE6" w14:textId="77777777" w:rsidR="00924635" w:rsidRPr="00EC79E0" w:rsidRDefault="00924635" w:rsidP="00924635">
      <w:pPr>
        <w:numPr>
          <w:ilvl w:val="0"/>
          <w:numId w:val="4"/>
        </w:numPr>
        <w:spacing w:after="0" w:line="240" w:lineRule="auto"/>
        <w:ind w:left="1170"/>
        <w:jc w:val="both"/>
        <w:textAlignment w:val="baseline"/>
        <w:rPr>
          <w:rFonts w:eastAsia="Times New Roman" w:cs="Times New Roman"/>
          <w:color w:val="000000"/>
          <w:szCs w:val="24"/>
        </w:rPr>
      </w:pPr>
      <w:r w:rsidRPr="00EC79E0">
        <w:rPr>
          <w:rFonts w:eastAsia="Times New Roman" w:cs="Times New Roman"/>
          <w:color w:val="000000"/>
          <w:szCs w:val="24"/>
        </w:rPr>
        <w:t>Competition in Standard Setting </w:t>
      </w:r>
    </w:p>
    <w:p w14:paraId="1287AE70" w14:textId="77777777" w:rsidR="00924635" w:rsidRPr="00EC79E0" w:rsidRDefault="00924635" w:rsidP="00924635">
      <w:pPr>
        <w:spacing w:after="0" w:line="240" w:lineRule="auto"/>
        <w:rPr>
          <w:rFonts w:eastAsia="Times New Roman" w:cs="Times New Roman"/>
          <w:szCs w:val="24"/>
        </w:rPr>
      </w:pPr>
    </w:p>
    <w:p w14:paraId="7A3BB827" w14:textId="253FD0D3"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One question that is decidedly present in the context of emerging industries is competition for self-regulatory primacy. This trend stands in stark contrast with many established industries, which often already have trade associations or other networks that can supply top-down standards that cover the entire industry.</w:t>
      </w:r>
      <w:r w:rsidR="005E0672">
        <w:rPr>
          <w:rStyle w:val="FootnoteReference"/>
          <w:rFonts w:eastAsia="Times New Roman" w:cs="Times New Roman"/>
          <w:color w:val="000000"/>
          <w:szCs w:val="24"/>
        </w:rPr>
        <w:footnoteReference w:id="66"/>
      </w:r>
      <w:r w:rsidRPr="00EC79E0">
        <w:rPr>
          <w:rFonts w:eastAsia="Times New Roman" w:cs="Times New Roman"/>
          <w:color w:val="000000"/>
          <w:szCs w:val="24"/>
        </w:rPr>
        <w:t xml:space="preserve"> With emerging industries, it will often be the case that there are many potential </w:t>
      </w:r>
      <w:r w:rsidR="009A39D2">
        <w:rPr>
          <w:rFonts w:eastAsia="Times New Roman" w:cs="Times New Roman"/>
          <w:color w:val="000000"/>
          <w:szCs w:val="24"/>
        </w:rPr>
        <w:t>private standards</w:t>
      </w:r>
      <w:r w:rsidRPr="00EC79E0">
        <w:rPr>
          <w:rFonts w:eastAsia="Times New Roman" w:cs="Times New Roman"/>
          <w:color w:val="000000"/>
          <w:szCs w:val="24"/>
        </w:rPr>
        <w:t>.</w:t>
      </w:r>
      <w:r w:rsidR="009A39D2">
        <w:rPr>
          <w:rFonts w:eastAsia="Times New Roman" w:cs="Times New Roman"/>
          <w:color w:val="000000"/>
          <w:szCs w:val="24"/>
        </w:rPr>
        <w:t xml:space="preserve"> In some cases there are too many standards, and this drives the formation of an SSO or SRO</w:t>
      </w:r>
      <w:r w:rsidR="00615664">
        <w:rPr>
          <w:rFonts w:eastAsia="Times New Roman" w:cs="Times New Roman"/>
          <w:color w:val="000000"/>
          <w:szCs w:val="24"/>
        </w:rPr>
        <w:t>, or public intervention.</w:t>
      </w:r>
      <w:r w:rsidR="009A39D2">
        <w:rPr>
          <w:rFonts w:eastAsia="Times New Roman" w:cs="Times New Roman"/>
          <w:color w:val="000000"/>
          <w:szCs w:val="24"/>
        </w:rPr>
        <w:t xml:space="preserve"> Take the example of </w:t>
      </w:r>
      <w:r w:rsidR="00DF6B30">
        <w:rPr>
          <w:rFonts w:eastAsia="Times New Roman" w:cs="Times New Roman"/>
          <w:color w:val="000000"/>
          <w:szCs w:val="24"/>
        </w:rPr>
        <w:t xml:space="preserve">standards for fitting fire hoses to fire hydrants—of which there were more than 600 </w:t>
      </w:r>
      <w:r w:rsidR="009D717C">
        <w:rPr>
          <w:rFonts w:eastAsia="Times New Roman" w:cs="Times New Roman"/>
          <w:color w:val="000000"/>
          <w:szCs w:val="24"/>
        </w:rPr>
        <w:t>in 1914, leading to collaboration between the National Fire Protection Association and U.S. National Institute of Standards and Technology to form a national standard.</w:t>
      </w:r>
      <w:r w:rsidR="005A7A01">
        <w:rPr>
          <w:rStyle w:val="FootnoteReference"/>
          <w:rFonts w:eastAsia="Times New Roman" w:cs="Times New Roman"/>
          <w:color w:val="000000"/>
          <w:szCs w:val="24"/>
        </w:rPr>
        <w:footnoteReference w:id="67"/>
      </w:r>
      <w:r w:rsidR="009A39D2">
        <w:rPr>
          <w:rFonts w:eastAsia="Times New Roman" w:cs="Times New Roman"/>
          <w:color w:val="000000"/>
          <w:szCs w:val="24"/>
        </w:rPr>
        <w:t xml:space="preserve">  </w:t>
      </w:r>
      <w:r w:rsidR="001C56C5">
        <w:rPr>
          <w:rFonts w:eastAsia="Times New Roman" w:cs="Times New Roman"/>
          <w:color w:val="000000"/>
          <w:szCs w:val="24"/>
        </w:rPr>
        <w:t xml:space="preserve">Even when too many standards generate problems—such as the Great Baltimore Fire of 1904, in which hoses did not fit to fire hydrants—the top down </w:t>
      </w:r>
      <w:r w:rsidR="005A7A01">
        <w:rPr>
          <w:rFonts w:eastAsia="Times New Roman" w:cs="Times New Roman"/>
          <w:color w:val="000000"/>
          <w:szCs w:val="24"/>
        </w:rPr>
        <w:t>organization that addresses these problems and creates a uniform standard</w:t>
      </w:r>
      <w:r w:rsidR="009A39D2">
        <w:rPr>
          <w:rFonts w:eastAsia="Times New Roman" w:cs="Times New Roman"/>
          <w:color w:val="000000"/>
          <w:szCs w:val="24"/>
        </w:rPr>
        <w:t xml:space="preserve"> has a diverse range of examples to draw from in this case, potentially </w:t>
      </w:r>
      <w:r w:rsidR="005A7A01">
        <w:rPr>
          <w:rFonts w:eastAsia="Times New Roman" w:cs="Times New Roman"/>
          <w:color w:val="000000"/>
          <w:szCs w:val="24"/>
        </w:rPr>
        <w:t>generating a more effective and efficient standard.</w:t>
      </w:r>
    </w:p>
    <w:p w14:paraId="6014BC95" w14:textId="77777777" w:rsidR="00924635" w:rsidRPr="00EC79E0" w:rsidRDefault="00924635" w:rsidP="00924635">
      <w:pPr>
        <w:spacing w:after="0" w:line="240" w:lineRule="auto"/>
        <w:rPr>
          <w:rFonts w:eastAsia="Times New Roman" w:cs="Times New Roman"/>
          <w:szCs w:val="24"/>
        </w:rPr>
      </w:pPr>
    </w:p>
    <w:p w14:paraId="16938942" w14:textId="47C1FD0B"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lastRenderedPageBreak/>
        <w:t>Standards-based competition—as with public regulatory competition in federalist or decentralized governance systems</w:t>
      </w:r>
      <w:bookmarkStart w:id="26" w:name="_Ref142232087"/>
      <w:r w:rsidR="007F18F2">
        <w:rPr>
          <w:rStyle w:val="FootnoteReference"/>
          <w:rFonts w:eastAsia="Times New Roman" w:cs="Times New Roman"/>
          <w:color w:val="000000"/>
          <w:szCs w:val="24"/>
        </w:rPr>
        <w:footnoteReference w:id="68"/>
      </w:r>
      <w:bookmarkEnd w:id="26"/>
      <w:r w:rsidRPr="00EC79E0">
        <w:rPr>
          <w:rFonts w:eastAsia="Times New Roman" w:cs="Times New Roman"/>
          <w:color w:val="000000"/>
          <w:szCs w:val="24"/>
        </w:rPr>
        <w:t>—could generate more effective, efficient controls that best address the diverse needs of regulated entities, and perhaps even more so than in the public context. Indeed, for better or worse, competitive self-regulation sometimes fills a space that would otherwise be occupied by states competing to attract industry or residents through beneficial regulatory diversity.</w:t>
      </w:r>
      <w:r w:rsidR="007F18F2">
        <w:rPr>
          <w:rStyle w:val="FootnoteReference"/>
          <w:rFonts w:eastAsia="Times New Roman" w:cs="Times New Roman"/>
          <w:color w:val="000000"/>
          <w:szCs w:val="24"/>
        </w:rPr>
        <w:footnoteReference w:id="69"/>
      </w:r>
      <w:r w:rsidRPr="00EC79E0">
        <w:rPr>
          <w:rFonts w:eastAsia="Times New Roman" w:cs="Times New Roman"/>
          <w:color w:val="000000"/>
          <w:szCs w:val="24"/>
        </w:rPr>
        <w:t xml:space="preserve"> The literature on inter-jurisdictional regulatory competition (public or private) suggests that although there may sometimes be a “race to the bottom” in terms of regulatory stringency and efficacy, this is highly context</w:t>
      </w:r>
      <w:r w:rsidR="007F18F2">
        <w:rPr>
          <w:rFonts w:eastAsia="Times New Roman" w:cs="Times New Roman"/>
          <w:color w:val="000000"/>
          <w:szCs w:val="24"/>
        </w:rPr>
        <w:t xml:space="preserve"> dependent</w:t>
      </w:r>
      <w:r w:rsidRPr="00EC79E0">
        <w:rPr>
          <w:rFonts w:eastAsia="Times New Roman" w:cs="Times New Roman"/>
          <w:color w:val="000000"/>
          <w:szCs w:val="24"/>
        </w:rPr>
        <w:t>.</w:t>
      </w:r>
      <w:r w:rsidR="007F18F2">
        <w:rPr>
          <w:rStyle w:val="FootnoteReference"/>
          <w:rFonts w:eastAsia="Times New Roman" w:cs="Times New Roman"/>
          <w:color w:val="000000"/>
          <w:szCs w:val="24"/>
        </w:rPr>
        <w:footnoteReference w:id="70"/>
      </w:r>
      <w:r w:rsidRPr="00EC79E0">
        <w:rPr>
          <w:rFonts w:eastAsia="Times New Roman" w:cs="Times New Roman"/>
          <w:color w:val="000000"/>
          <w:szCs w:val="24"/>
        </w:rPr>
        <w:t xml:space="preserve"> In some cases, interjurisdictional regulatory competition, by creating a market for “locational rights,” leads to a “race to the top</w:t>
      </w:r>
      <w:r w:rsidR="007F18F2">
        <w:rPr>
          <w:rFonts w:eastAsia="Times New Roman" w:cs="Times New Roman"/>
          <w:color w:val="000000"/>
          <w:szCs w:val="24"/>
        </w:rPr>
        <w:t>.</w:t>
      </w:r>
      <w:r w:rsidRPr="00EC79E0">
        <w:rPr>
          <w:rFonts w:eastAsia="Times New Roman" w:cs="Times New Roman"/>
          <w:color w:val="000000"/>
          <w:szCs w:val="24"/>
        </w:rPr>
        <w:t>”</w:t>
      </w:r>
      <w:bookmarkStart w:id="27" w:name="_Ref142232198"/>
      <w:r w:rsidR="007F18F2">
        <w:rPr>
          <w:rStyle w:val="FootnoteReference"/>
          <w:rFonts w:eastAsia="Times New Roman" w:cs="Times New Roman"/>
          <w:color w:val="000000"/>
          <w:szCs w:val="24"/>
        </w:rPr>
        <w:footnoteReference w:id="71"/>
      </w:r>
      <w:bookmarkEnd w:id="27"/>
      <w:r w:rsidRPr="00EC79E0">
        <w:rPr>
          <w:rFonts w:eastAsia="Times New Roman" w:cs="Times New Roman"/>
          <w:color w:val="000000"/>
          <w:szCs w:val="24"/>
        </w:rPr>
        <w:t xml:space="preserve"> That is, if people demand quality regulation and are able to vote with their feet by relocating to a different jurisdiction that better matches their preferences, theory suggests we should end up with regulation that is welfare enhancing.</w:t>
      </w:r>
      <w:r w:rsidR="007F18F2">
        <w:rPr>
          <w:rStyle w:val="FootnoteReference"/>
          <w:rFonts w:eastAsia="Times New Roman" w:cs="Times New Roman"/>
          <w:color w:val="000000"/>
          <w:szCs w:val="24"/>
        </w:rPr>
        <w:footnoteReference w:id="72"/>
      </w:r>
    </w:p>
    <w:p w14:paraId="35055662" w14:textId="77777777" w:rsidR="00924635" w:rsidRPr="00EC79E0" w:rsidRDefault="00924635" w:rsidP="00924635">
      <w:pPr>
        <w:spacing w:after="0" w:line="240" w:lineRule="auto"/>
        <w:rPr>
          <w:rFonts w:eastAsia="Times New Roman" w:cs="Times New Roman"/>
          <w:szCs w:val="24"/>
        </w:rPr>
      </w:pPr>
    </w:p>
    <w:p w14:paraId="28CFCA4A" w14:textId="11BC6A0D"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xml:space="preserve">There are good reasons to think that the benefits of regulatory competition are more likely to accrue in the context of competition for self-regulatory primacy than in the classic case of interjurisdictional governmental competition. To the extent that incentives for self-regulation exist at all, choice among potential SSOs </w:t>
      </w:r>
      <w:r w:rsidR="00DD45A5">
        <w:rPr>
          <w:rFonts w:eastAsia="Times New Roman" w:cs="Times New Roman"/>
          <w:color w:val="000000"/>
          <w:szCs w:val="24"/>
        </w:rPr>
        <w:t xml:space="preserve">and SROs </w:t>
      </w:r>
      <w:r w:rsidRPr="00EC79E0">
        <w:rPr>
          <w:rFonts w:eastAsia="Times New Roman" w:cs="Times New Roman"/>
          <w:color w:val="000000"/>
          <w:szCs w:val="24"/>
        </w:rPr>
        <w:t>presents a far more realistic version of “foot-voting” for rules than does Tiebout’s public governance example, in which residents shop by moving to packages of local government goods, services, and taxes that best meet their needs.</w:t>
      </w:r>
      <w:r w:rsidR="007F18F2">
        <w:rPr>
          <w:rStyle w:val="FootnoteReference"/>
          <w:rFonts w:eastAsia="Times New Roman" w:cs="Times New Roman"/>
          <w:color w:val="000000"/>
          <w:szCs w:val="24"/>
        </w:rPr>
        <w:footnoteReference w:id="73"/>
      </w:r>
      <w:r w:rsidRPr="00EC79E0">
        <w:rPr>
          <w:rFonts w:eastAsia="Times New Roman" w:cs="Times New Roman"/>
          <w:color w:val="000000"/>
          <w:szCs w:val="24"/>
        </w:rPr>
        <w:t xml:space="preserve"> One of Tiebout’s core assumptions was that voters are mobile and can express preferences through exit and entry. But voters are often tied to jobs, family, mortgages, or other localized obligations that make moving quite difficult. Self-regulatory standards, unlike public rules promulgated by municipalities, remain unburdened by artificial jurisdictional lines. Private standard-setting bodies </w:t>
      </w:r>
      <w:r w:rsidR="00492594">
        <w:rPr>
          <w:rFonts w:eastAsia="Times New Roman" w:cs="Times New Roman"/>
          <w:color w:val="000000"/>
          <w:szCs w:val="24"/>
        </w:rPr>
        <w:t xml:space="preserve">and SROs </w:t>
      </w:r>
      <w:r w:rsidRPr="00EC79E0">
        <w:rPr>
          <w:rFonts w:eastAsia="Times New Roman" w:cs="Times New Roman"/>
          <w:color w:val="000000"/>
          <w:szCs w:val="24"/>
        </w:rPr>
        <w:t>can and often do offer their standards to any relevant subscriber</w:t>
      </w:r>
      <w:r w:rsidR="00492594">
        <w:rPr>
          <w:rFonts w:eastAsia="Times New Roman" w:cs="Times New Roman"/>
          <w:color w:val="000000"/>
          <w:szCs w:val="24"/>
        </w:rPr>
        <w:t xml:space="preserve"> or qualifying member</w:t>
      </w:r>
      <w:r w:rsidRPr="00EC79E0">
        <w:rPr>
          <w:rFonts w:eastAsia="Times New Roman" w:cs="Times New Roman"/>
          <w:color w:val="000000"/>
          <w:szCs w:val="24"/>
        </w:rPr>
        <w:t>—namely, any industrial actor on the globe that fits within the technical confines of the industry subject to the standards. This makes locational mobility of the regulated actor a non-issue.</w:t>
      </w:r>
      <w:r w:rsidR="00492594">
        <w:rPr>
          <w:rStyle w:val="FootnoteReference"/>
          <w:rFonts w:eastAsia="Times New Roman" w:cs="Times New Roman"/>
          <w:color w:val="000000"/>
          <w:szCs w:val="24"/>
        </w:rPr>
        <w:footnoteReference w:id="74"/>
      </w:r>
      <w:r w:rsidRPr="00EC79E0">
        <w:rPr>
          <w:rFonts w:eastAsia="Times New Roman" w:cs="Times New Roman"/>
          <w:color w:val="000000"/>
          <w:szCs w:val="24"/>
        </w:rPr>
        <w:t> </w:t>
      </w:r>
    </w:p>
    <w:p w14:paraId="469046CF" w14:textId="77777777" w:rsidR="00924635" w:rsidRPr="00EC79E0" w:rsidRDefault="00924635" w:rsidP="00924635">
      <w:pPr>
        <w:spacing w:after="0" w:line="240" w:lineRule="auto"/>
        <w:rPr>
          <w:rFonts w:eastAsia="Times New Roman" w:cs="Times New Roman"/>
          <w:szCs w:val="24"/>
        </w:rPr>
      </w:pPr>
    </w:p>
    <w:p w14:paraId="27F94972" w14:textId="299673C6"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Beyond mobility, Tiebout’s assumption that foot voters are knowledgeable about the different governance options may be truer in the self-regulatory setting, where actors are relatively sophisticated and might actively research and shop for private standards in an effort to appease potential investors and consumers, or, perhaps, avoid threats of overly stringent public governance. In fact, the limited empirical evidence that does exist about competition over self-regulatory governance, drawn from the self-regulation of the Internet of Things field, suggests that potential subscribers to competing SSOs are savvy shoppers. Potential subscribers, the data show, choose SSOs that provide a “broad membership base” and “low costs and fast development” of standards.</w:t>
      </w:r>
      <w:r w:rsidR="007F18F2">
        <w:rPr>
          <w:rStyle w:val="FootnoteReference"/>
          <w:rFonts w:eastAsia="Times New Roman" w:cs="Times New Roman"/>
          <w:color w:val="000000"/>
          <w:szCs w:val="24"/>
        </w:rPr>
        <w:footnoteReference w:id="75"/>
      </w:r>
      <w:r w:rsidRPr="00EC79E0">
        <w:rPr>
          <w:rFonts w:eastAsia="Times New Roman" w:cs="Times New Roman"/>
          <w:color w:val="000000"/>
          <w:szCs w:val="24"/>
        </w:rPr>
        <w:t>  </w:t>
      </w:r>
    </w:p>
    <w:p w14:paraId="21835084" w14:textId="77777777" w:rsidR="00924635" w:rsidRPr="00EC79E0" w:rsidRDefault="00924635" w:rsidP="00924635">
      <w:pPr>
        <w:spacing w:after="0" w:line="240" w:lineRule="auto"/>
        <w:rPr>
          <w:rFonts w:eastAsia="Times New Roman" w:cs="Times New Roman"/>
          <w:szCs w:val="24"/>
        </w:rPr>
      </w:pPr>
    </w:p>
    <w:p w14:paraId="45B490F9" w14:textId="70C76DF0"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xml:space="preserve">Finally, while </w:t>
      </w:r>
      <w:r w:rsidR="00523783">
        <w:rPr>
          <w:rFonts w:eastAsia="Times New Roman" w:cs="Times New Roman"/>
          <w:color w:val="000000"/>
          <w:szCs w:val="24"/>
        </w:rPr>
        <w:t xml:space="preserve">those building from </w:t>
      </w:r>
      <w:r w:rsidRPr="00EC79E0">
        <w:rPr>
          <w:rFonts w:eastAsia="Times New Roman" w:cs="Times New Roman"/>
          <w:color w:val="000000"/>
          <w:szCs w:val="24"/>
        </w:rPr>
        <w:t>Tiebout</w:t>
      </w:r>
      <w:r w:rsidR="00523783">
        <w:rPr>
          <w:rFonts w:eastAsia="Times New Roman" w:cs="Times New Roman"/>
          <w:color w:val="000000"/>
          <w:szCs w:val="24"/>
        </w:rPr>
        <w:t xml:space="preserve">’s work tend to </w:t>
      </w:r>
      <w:r w:rsidRPr="00EC79E0">
        <w:rPr>
          <w:rFonts w:eastAsia="Times New Roman" w:cs="Times New Roman"/>
          <w:color w:val="000000"/>
          <w:szCs w:val="24"/>
        </w:rPr>
        <w:t>assume</w:t>
      </w:r>
      <w:r w:rsidR="00523783">
        <w:rPr>
          <w:rFonts w:eastAsia="Times New Roman" w:cs="Times New Roman"/>
          <w:color w:val="000000"/>
          <w:szCs w:val="24"/>
        </w:rPr>
        <w:t xml:space="preserve"> </w:t>
      </w:r>
      <w:r w:rsidRPr="00EC79E0">
        <w:rPr>
          <w:rFonts w:eastAsia="Times New Roman" w:cs="Times New Roman"/>
          <w:color w:val="000000"/>
          <w:szCs w:val="24"/>
        </w:rPr>
        <w:t>(often incorrectly) that public governments meaningfully and methodically experiment with different policies,</w:t>
      </w:r>
      <w:r w:rsidR="007F18F2">
        <w:rPr>
          <w:rStyle w:val="FootnoteReference"/>
          <w:rFonts w:eastAsia="Times New Roman" w:cs="Times New Roman"/>
          <w:color w:val="000000"/>
          <w:szCs w:val="24"/>
        </w:rPr>
        <w:footnoteReference w:id="76"/>
      </w:r>
      <w:r w:rsidRPr="00EC79E0">
        <w:rPr>
          <w:rFonts w:eastAsia="Times New Roman" w:cs="Times New Roman"/>
          <w:color w:val="000000"/>
          <w:szCs w:val="24"/>
        </w:rPr>
        <w:t xml:space="preserve"> private standard setting organizations often </w:t>
      </w:r>
      <w:r w:rsidRPr="00EC79E0">
        <w:rPr>
          <w:rFonts w:eastAsia="Times New Roman" w:cs="Times New Roman"/>
          <w:i/>
          <w:iCs/>
          <w:color w:val="000000"/>
          <w:szCs w:val="24"/>
        </w:rPr>
        <w:t xml:space="preserve">do </w:t>
      </w:r>
      <w:r w:rsidRPr="00EC79E0">
        <w:rPr>
          <w:rFonts w:eastAsia="Times New Roman" w:cs="Times New Roman"/>
          <w:color w:val="000000"/>
          <w:szCs w:val="24"/>
        </w:rPr>
        <w:t>engage in more purposeful experimentation with standards and assessment of their efficacy, in part to advertise results to firms that might subscribe to the standards. Indeed, as we explore in Part III, many members of the hydrogen industry are developing their own standards and associated technical experiments designed to test and demonstrate the efficacy of various standards. </w:t>
      </w:r>
    </w:p>
    <w:p w14:paraId="3B2A8310" w14:textId="77777777" w:rsidR="00924635" w:rsidRPr="00EC79E0" w:rsidRDefault="00924635" w:rsidP="00924635">
      <w:pPr>
        <w:spacing w:after="0" w:line="240" w:lineRule="auto"/>
        <w:rPr>
          <w:rFonts w:eastAsia="Times New Roman" w:cs="Times New Roman"/>
          <w:szCs w:val="24"/>
        </w:rPr>
      </w:pPr>
    </w:p>
    <w:p w14:paraId="68F2D826" w14:textId="4AD331AA"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To be sure, there are some assumptions that may remain unmet in standards-based competition. For example, Tiebout assumed that no economies or diseconomies were shared among communities, whereas local governments’ regulations regularly have positive and negative spillover effects. The same is true for private standard setting. Although standards can be proprietary and more easily limited to subscribers, their benefits—such as creating overall investor confidence in a subset of actors within an emerging economy—cannot be easily cabined. Furthermore, some broader assumptions of regulatory experimentation remain unrealistic in both the private and public contexts, including, for example, the questionable assumption that those designing and enforcing a governing regime will honestly measure and share negative results in addition to positive ones.</w:t>
      </w:r>
      <w:r w:rsidR="00B47C4A">
        <w:rPr>
          <w:rStyle w:val="FootnoteReference"/>
          <w:rFonts w:eastAsia="Times New Roman" w:cs="Times New Roman"/>
          <w:color w:val="000000"/>
          <w:szCs w:val="24"/>
        </w:rPr>
        <w:footnoteReference w:id="77"/>
      </w:r>
      <w:r w:rsidRPr="00EC79E0">
        <w:rPr>
          <w:rFonts w:eastAsia="Times New Roman" w:cs="Times New Roman"/>
          <w:color w:val="000000"/>
          <w:szCs w:val="24"/>
        </w:rPr>
        <w:t xml:space="preserve"> </w:t>
      </w:r>
      <w:r w:rsidRPr="00EC79E0">
        <w:rPr>
          <w:rFonts w:eastAsia="Times New Roman" w:cs="Times New Roman"/>
          <w:color w:val="000000"/>
          <w:szCs w:val="24"/>
        </w:rPr>
        <w:lastRenderedPageBreak/>
        <w:t>Nevertheless, there are reasons to believe that competition for self-regulation in emerging industries is a feature, not a bug, and one that would necessarily be forfeited if public regulation were to intervene too quickly. </w:t>
      </w:r>
    </w:p>
    <w:p w14:paraId="475B13C1"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szCs w:val="24"/>
        </w:rPr>
        <w:br/>
      </w:r>
    </w:p>
    <w:p w14:paraId="0C11A6D0" w14:textId="77777777" w:rsidR="00924635" w:rsidRPr="00EC79E0" w:rsidRDefault="00924635" w:rsidP="00924635">
      <w:pPr>
        <w:pStyle w:val="ListParagraph"/>
        <w:numPr>
          <w:ilvl w:val="0"/>
          <w:numId w:val="4"/>
        </w:numPr>
        <w:spacing w:after="0" w:line="240" w:lineRule="auto"/>
        <w:jc w:val="both"/>
        <w:textAlignment w:val="baseline"/>
        <w:rPr>
          <w:rFonts w:eastAsia="Times New Roman" w:cs="Times New Roman"/>
          <w:color w:val="000000"/>
          <w:szCs w:val="24"/>
        </w:rPr>
      </w:pPr>
      <w:r w:rsidRPr="00EC79E0">
        <w:rPr>
          <w:rFonts w:eastAsia="Times New Roman" w:cs="Times New Roman"/>
          <w:color w:val="000000"/>
          <w:szCs w:val="24"/>
        </w:rPr>
        <w:t>Striking a Critical Balance Between Regulatory Flexibility and Certainty: Substance and Jurisdiction</w:t>
      </w:r>
    </w:p>
    <w:p w14:paraId="1C3928EB" w14:textId="77777777" w:rsidR="00924635" w:rsidRPr="00EC79E0" w:rsidRDefault="00924635" w:rsidP="00924635">
      <w:pPr>
        <w:spacing w:after="0" w:line="240" w:lineRule="auto"/>
        <w:rPr>
          <w:rFonts w:eastAsia="Times New Roman" w:cs="Times New Roman"/>
          <w:szCs w:val="24"/>
        </w:rPr>
      </w:pPr>
    </w:p>
    <w:p w14:paraId="57E3916B"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shd w:val="clear" w:color="auto" w:fill="FFFFFF"/>
        </w:rPr>
        <w:tab/>
      </w:r>
      <w:r w:rsidRPr="00EC79E0">
        <w:rPr>
          <w:rFonts w:eastAsia="Times New Roman" w:cs="Times New Roman"/>
          <w:color w:val="000000"/>
          <w:szCs w:val="24"/>
        </w:rPr>
        <w:t xml:space="preserve">Industry actors and investors frequently cite the importance of regulatory certainty or predictability, arguing that without clear, relatively durable guiding standards it is difficult to attract adequate investment or make large capital outlays. Industry actors do not want to invest in capital and procedures for compliance only to find these investments obsolete within several months or years. For emerging industries in which jurisdictional authority is often unclear (federal versus state control, for example), clarity as to </w:t>
      </w:r>
      <w:r w:rsidRPr="00EC79E0">
        <w:rPr>
          <w:rFonts w:eastAsia="Times New Roman" w:cs="Times New Roman"/>
          <w:i/>
          <w:iCs/>
          <w:color w:val="000000"/>
          <w:szCs w:val="24"/>
        </w:rPr>
        <w:t xml:space="preserve">who </w:t>
      </w:r>
      <w:r w:rsidRPr="00EC79E0">
        <w:rPr>
          <w:rFonts w:eastAsia="Times New Roman" w:cs="Times New Roman"/>
          <w:color w:val="000000"/>
          <w:szCs w:val="24"/>
        </w:rPr>
        <w:t>will regulate also plays an important role.</w:t>
      </w:r>
    </w:p>
    <w:p w14:paraId="504E8BBD" w14:textId="77777777" w:rsidR="00924635" w:rsidRPr="00EC79E0" w:rsidRDefault="00924635" w:rsidP="00924635">
      <w:pPr>
        <w:spacing w:after="0" w:line="240" w:lineRule="auto"/>
        <w:rPr>
          <w:rFonts w:eastAsia="Times New Roman" w:cs="Times New Roman"/>
          <w:szCs w:val="24"/>
        </w:rPr>
      </w:pPr>
    </w:p>
    <w:p w14:paraId="7053B1A4" w14:textId="4E415BF9"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Some degree of regulatory certainty is therefore particularly critical for emerging industries, which need large initial investments to undertake the expensive and risky endeavor of building a network of infrastructure from scratch. Yet as scholars in the energy sphere have observed, there are many types of regulatory certainty, and in fact some degree of uncertainty</w:t>
      </w:r>
      <w:r w:rsidRPr="00EC79E0">
        <w:rPr>
          <w:rFonts w:eastAsia="Times New Roman" w:cs="Times New Roman"/>
          <w:i/>
          <w:iCs/>
          <w:color w:val="000000"/>
          <w:szCs w:val="24"/>
        </w:rPr>
        <w:t xml:space="preserve"> </w:t>
      </w:r>
      <w:r w:rsidRPr="00EC79E0">
        <w:rPr>
          <w:rFonts w:eastAsia="Times New Roman" w:cs="Times New Roman"/>
          <w:color w:val="000000"/>
          <w:szCs w:val="24"/>
        </w:rPr>
        <w:t>or vagueness can create</w:t>
      </w:r>
      <w:r w:rsidR="006754F8">
        <w:rPr>
          <w:rFonts w:eastAsia="Times New Roman" w:cs="Times New Roman"/>
          <w:color w:val="000000"/>
          <w:szCs w:val="24"/>
        </w:rPr>
        <w:t xml:space="preserve"> </w:t>
      </w:r>
      <w:r w:rsidRPr="00EC79E0">
        <w:rPr>
          <w:rFonts w:eastAsia="Times New Roman" w:cs="Times New Roman"/>
          <w:color w:val="000000"/>
          <w:szCs w:val="24"/>
        </w:rPr>
        <w:t>flexibility, which is also essential for emerging industries, particularly those at an early technological development stage, to allow them to experiment.</w:t>
      </w:r>
      <w:r w:rsidR="00B47C4A">
        <w:rPr>
          <w:rStyle w:val="FootnoteReference"/>
          <w:rFonts w:eastAsia="Times New Roman" w:cs="Times New Roman"/>
          <w:color w:val="000000"/>
          <w:szCs w:val="24"/>
        </w:rPr>
        <w:footnoteReference w:id="78"/>
      </w:r>
      <w:r w:rsidRPr="00EC79E0">
        <w:rPr>
          <w:rFonts w:eastAsia="Times New Roman" w:cs="Times New Roman"/>
          <w:color w:val="000000"/>
          <w:szCs w:val="24"/>
        </w:rPr>
        <w:t xml:space="preserve"> As such, the special situation of emerging industries like hydrogen </w:t>
      </w:r>
      <w:r w:rsidR="004A682C">
        <w:rPr>
          <w:rFonts w:eastAsia="Times New Roman" w:cs="Times New Roman"/>
          <w:color w:val="000000"/>
          <w:szCs w:val="24"/>
        </w:rPr>
        <w:t xml:space="preserve">or AI </w:t>
      </w:r>
      <w:r w:rsidRPr="00EC79E0">
        <w:rPr>
          <w:rFonts w:eastAsia="Times New Roman" w:cs="Times New Roman"/>
          <w:color w:val="000000"/>
          <w:szCs w:val="24"/>
        </w:rPr>
        <w:t>creates a need for a “Goldilocks” approach to the balance between certainty and uncertainty. Here again, self-regulation can be better suited to find this balance.</w:t>
      </w:r>
    </w:p>
    <w:p w14:paraId="55D2D491" w14:textId="77777777" w:rsidR="00924635" w:rsidRPr="00EC79E0" w:rsidRDefault="00924635" w:rsidP="00924635">
      <w:pPr>
        <w:spacing w:after="0" w:line="240" w:lineRule="auto"/>
        <w:rPr>
          <w:rFonts w:eastAsia="Times New Roman" w:cs="Times New Roman"/>
          <w:szCs w:val="24"/>
        </w:rPr>
      </w:pPr>
    </w:p>
    <w:p w14:paraId="14319F69" w14:textId="6821E2BC" w:rsidR="00924635" w:rsidRPr="00EC79E0" w:rsidRDefault="00924635" w:rsidP="00924635">
      <w:pPr>
        <w:spacing w:after="0" w:line="240" w:lineRule="auto"/>
        <w:ind w:left="720"/>
        <w:jc w:val="both"/>
        <w:textAlignment w:val="baseline"/>
        <w:rPr>
          <w:rFonts w:eastAsia="Times New Roman" w:cs="Times New Roman"/>
          <w:color w:val="000000"/>
          <w:szCs w:val="24"/>
        </w:rPr>
      </w:pPr>
      <w:r w:rsidRPr="00EC79E0">
        <w:rPr>
          <w:rFonts w:eastAsia="Times New Roman" w:cs="Times New Roman"/>
          <w:color w:val="000000"/>
          <w:szCs w:val="24"/>
        </w:rPr>
        <w:t>a.   Substantive Clarity </w:t>
      </w:r>
      <w:r w:rsidR="00FA0EB8">
        <w:rPr>
          <w:rFonts w:eastAsia="Times New Roman" w:cs="Times New Roman"/>
          <w:color w:val="000000"/>
          <w:szCs w:val="24"/>
        </w:rPr>
        <w:t>and Risk Mitigation</w:t>
      </w:r>
    </w:p>
    <w:p w14:paraId="4EBD45BA" w14:textId="77777777" w:rsidR="00924635" w:rsidRPr="00EC79E0" w:rsidRDefault="00924635" w:rsidP="00924635">
      <w:pPr>
        <w:spacing w:after="0" w:line="240" w:lineRule="auto"/>
        <w:rPr>
          <w:rFonts w:eastAsia="Times New Roman" w:cs="Times New Roman"/>
          <w:szCs w:val="24"/>
        </w:rPr>
      </w:pPr>
    </w:p>
    <w:p w14:paraId="02BF7156" w14:textId="77777777" w:rsidR="00E202FA" w:rsidRDefault="00924635" w:rsidP="0092463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 xml:space="preserve">Regulatory uncertainty often means that there simply are not many (or any) regulations on the books guiding a particular industry—thus making it unclear whether the industry will be permitted or banned or how and whether it will be regulated. </w:t>
      </w:r>
      <w:r w:rsidR="00FA0EB8">
        <w:rPr>
          <w:rFonts w:eastAsia="Times New Roman" w:cs="Times New Roman"/>
          <w:color w:val="000000"/>
          <w:szCs w:val="24"/>
        </w:rPr>
        <w:t xml:space="preserve">This poses problems for the public—in the form of potentially unmitigated risks—and for industry, in the form of </w:t>
      </w:r>
      <w:r w:rsidR="00BE37BB">
        <w:rPr>
          <w:rFonts w:eastAsia="Times New Roman" w:cs="Times New Roman"/>
          <w:color w:val="000000"/>
          <w:szCs w:val="24"/>
        </w:rPr>
        <w:t xml:space="preserve">uncertainty and concerns about a high-profile negative event that will stifle further development of the industry. </w:t>
      </w:r>
    </w:p>
    <w:p w14:paraId="1D9D49C6" w14:textId="77777777" w:rsidR="00E202FA" w:rsidRDefault="00E202FA" w:rsidP="00924635">
      <w:pPr>
        <w:spacing w:after="0" w:line="240" w:lineRule="auto"/>
        <w:ind w:firstLine="720"/>
        <w:jc w:val="both"/>
        <w:rPr>
          <w:rFonts w:eastAsia="Times New Roman" w:cs="Times New Roman"/>
          <w:color w:val="000000"/>
          <w:szCs w:val="24"/>
        </w:rPr>
      </w:pPr>
    </w:p>
    <w:p w14:paraId="5D8BA639" w14:textId="43F4AE59" w:rsidR="00A93B7F" w:rsidRDefault="00E202FA" w:rsidP="00924635">
      <w:pPr>
        <w:spacing w:after="0" w:line="240" w:lineRule="auto"/>
        <w:ind w:firstLine="720"/>
        <w:jc w:val="both"/>
        <w:rPr>
          <w:rFonts w:eastAsia="Times New Roman" w:cs="Times New Roman"/>
          <w:color w:val="000000"/>
          <w:szCs w:val="24"/>
        </w:rPr>
      </w:pPr>
      <w:r>
        <w:rPr>
          <w:rFonts w:eastAsia="Times New Roman" w:cs="Times New Roman"/>
          <w:color w:val="000000"/>
          <w:szCs w:val="24"/>
        </w:rPr>
        <w:lastRenderedPageBreak/>
        <w:t>Regu</w:t>
      </w:r>
      <w:r w:rsidR="003D3305">
        <w:rPr>
          <w:rFonts w:eastAsia="Times New Roman" w:cs="Times New Roman"/>
          <w:color w:val="000000"/>
          <w:szCs w:val="24"/>
        </w:rPr>
        <w:t>latory uncertainty arises in several different ways</w:t>
      </w:r>
      <w:r w:rsidR="002F4AC6">
        <w:rPr>
          <w:rFonts w:eastAsia="Times New Roman" w:cs="Times New Roman"/>
          <w:color w:val="000000"/>
          <w:szCs w:val="24"/>
        </w:rPr>
        <w:t>—</w:t>
      </w:r>
      <w:r w:rsidR="00E455D7">
        <w:rPr>
          <w:rFonts w:eastAsia="Times New Roman" w:cs="Times New Roman"/>
          <w:color w:val="000000"/>
          <w:szCs w:val="24"/>
        </w:rPr>
        <w:t xml:space="preserve">sometimes </w:t>
      </w:r>
      <w:r w:rsidR="002F4AC6">
        <w:rPr>
          <w:rFonts w:eastAsia="Times New Roman" w:cs="Times New Roman"/>
          <w:color w:val="000000"/>
          <w:szCs w:val="24"/>
        </w:rPr>
        <w:t xml:space="preserve">through a lack of </w:t>
      </w:r>
      <w:r w:rsidR="00E455D7">
        <w:rPr>
          <w:rFonts w:eastAsia="Times New Roman" w:cs="Times New Roman"/>
          <w:color w:val="000000"/>
          <w:szCs w:val="24"/>
        </w:rPr>
        <w:t xml:space="preserve">any regulation—posing a question of when and to what extent an emerging industry will be regulated, if at all—and most commonly through the </w:t>
      </w:r>
      <w:r w:rsidR="00F113B4">
        <w:rPr>
          <w:rFonts w:eastAsia="Times New Roman" w:cs="Times New Roman"/>
          <w:color w:val="000000"/>
          <w:szCs w:val="24"/>
        </w:rPr>
        <w:t>limited application of existing regulations to a new industry.</w:t>
      </w:r>
      <w:r w:rsidR="00E455D7">
        <w:rPr>
          <w:rFonts w:eastAsia="Times New Roman" w:cs="Times New Roman"/>
          <w:color w:val="000000"/>
          <w:szCs w:val="24"/>
        </w:rPr>
        <w:t xml:space="preserve"> </w:t>
      </w:r>
      <w:r w:rsidR="00D370C6">
        <w:rPr>
          <w:rFonts w:eastAsia="Times New Roman" w:cs="Times New Roman"/>
          <w:color w:val="000000"/>
          <w:szCs w:val="24"/>
        </w:rPr>
        <w:t xml:space="preserve">For hydraulic fracturing, for example, one environmental group persuaded </w:t>
      </w:r>
      <w:r w:rsidR="00EF022E">
        <w:rPr>
          <w:rFonts w:eastAsia="Times New Roman" w:cs="Times New Roman"/>
          <w:color w:val="000000"/>
          <w:szCs w:val="24"/>
        </w:rPr>
        <w:t>the federal Eleventh Circuit</w:t>
      </w:r>
      <w:r w:rsidR="00D370C6">
        <w:rPr>
          <w:rFonts w:eastAsia="Times New Roman" w:cs="Times New Roman"/>
          <w:color w:val="000000"/>
          <w:szCs w:val="24"/>
        </w:rPr>
        <w:t xml:space="preserve"> to </w:t>
      </w:r>
      <w:r w:rsidR="00521EC9">
        <w:rPr>
          <w:rFonts w:eastAsia="Times New Roman" w:cs="Times New Roman"/>
          <w:color w:val="000000"/>
          <w:szCs w:val="24"/>
        </w:rPr>
        <w:t>hold that</w:t>
      </w:r>
      <w:r w:rsidR="00D370C6">
        <w:rPr>
          <w:rFonts w:eastAsia="Times New Roman" w:cs="Times New Roman"/>
          <w:color w:val="000000"/>
          <w:szCs w:val="24"/>
        </w:rPr>
        <w:t xml:space="preserve"> the Safe Drinking Water Act—which requires regulatory approval prior to the injection of substances underground—</w:t>
      </w:r>
      <w:r w:rsidR="00521EC9">
        <w:rPr>
          <w:rFonts w:eastAsia="Times New Roman" w:cs="Times New Roman"/>
          <w:color w:val="000000"/>
          <w:szCs w:val="24"/>
        </w:rPr>
        <w:t xml:space="preserve">applied </w:t>
      </w:r>
      <w:r w:rsidR="00D370C6">
        <w:rPr>
          <w:rFonts w:eastAsia="Times New Roman" w:cs="Times New Roman"/>
          <w:color w:val="000000"/>
          <w:szCs w:val="24"/>
        </w:rPr>
        <w:t xml:space="preserve">to </w:t>
      </w:r>
      <w:r w:rsidR="00521EC9">
        <w:rPr>
          <w:rFonts w:eastAsia="Times New Roman" w:cs="Times New Roman"/>
          <w:color w:val="000000"/>
          <w:szCs w:val="24"/>
        </w:rPr>
        <w:t>hydraulic fracturing</w:t>
      </w:r>
      <w:r w:rsidR="009C55F4">
        <w:rPr>
          <w:rFonts w:eastAsia="Times New Roman" w:cs="Times New Roman"/>
          <w:color w:val="000000"/>
          <w:szCs w:val="24"/>
        </w:rPr>
        <w:t>. (Congress later exempted hydraulic fracturing from the Act.</w:t>
      </w:r>
      <w:r w:rsidR="00EF022E">
        <w:rPr>
          <w:rStyle w:val="FootnoteReference"/>
          <w:rFonts w:eastAsia="Times New Roman" w:cs="Times New Roman"/>
          <w:color w:val="000000"/>
          <w:szCs w:val="24"/>
        </w:rPr>
        <w:footnoteReference w:id="79"/>
      </w:r>
      <w:r w:rsidR="009C55F4">
        <w:rPr>
          <w:rFonts w:eastAsia="Times New Roman" w:cs="Times New Roman"/>
          <w:color w:val="000000"/>
          <w:szCs w:val="24"/>
        </w:rPr>
        <w:t>)</w:t>
      </w:r>
      <w:r w:rsidR="00EF022E">
        <w:rPr>
          <w:rFonts w:eastAsia="Times New Roman" w:cs="Times New Roman"/>
          <w:color w:val="000000"/>
          <w:szCs w:val="24"/>
        </w:rPr>
        <w:t xml:space="preserve"> For AI, there are large grey areas of regulation, with some existing public standards applying in only a limited way (such as Federal Trade Commission rules).</w:t>
      </w:r>
      <w:bookmarkStart w:id="28" w:name="_Ref142256430"/>
      <w:r w:rsidR="00EF022E">
        <w:rPr>
          <w:rStyle w:val="FootnoteReference"/>
          <w:rFonts w:eastAsia="Times New Roman" w:cs="Times New Roman"/>
          <w:color w:val="000000"/>
          <w:szCs w:val="24"/>
        </w:rPr>
        <w:footnoteReference w:id="80"/>
      </w:r>
      <w:bookmarkEnd w:id="28"/>
      <w:r w:rsidR="00EF022E">
        <w:rPr>
          <w:rFonts w:eastAsia="Times New Roman" w:cs="Times New Roman"/>
          <w:color w:val="000000"/>
          <w:szCs w:val="24"/>
        </w:rPr>
        <w:t xml:space="preserve"> </w:t>
      </w:r>
      <w:r w:rsidR="00924635" w:rsidRPr="00EC79E0">
        <w:rPr>
          <w:rFonts w:eastAsia="Times New Roman" w:cs="Times New Roman"/>
          <w:color w:val="000000"/>
          <w:szCs w:val="24"/>
        </w:rPr>
        <w:t xml:space="preserve"> </w:t>
      </w:r>
    </w:p>
    <w:p w14:paraId="6BD8804C" w14:textId="77777777" w:rsidR="00A93B7F" w:rsidRDefault="00A93B7F" w:rsidP="00924635">
      <w:pPr>
        <w:spacing w:after="0" w:line="240" w:lineRule="auto"/>
        <w:ind w:firstLine="720"/>
        <w:jc w:val="both"/>
        <w:rPr>
          <w:rFonts w:eastAsia="Times New Roman" w:cs="Times New Roman"/>
          <w:color w:val="000000"/>
          <w:szCs w:val="24"/>
        </w:rPr>
      </w:pPr>
    </w:p>
    <w:p w14:paraId="4E28CE74" w14:textId="1CD1693F" w:rsidR="00924635" w:rsidRPr="00EC79E0" w:rsidRDefault="00E71334" w:rsidP="00924635">
      <w:pPr>
        <w:spacing w:after="0" w:line="240" w:lineRule="auto"/>
        <w:ind w:firstLine="720"/>
        <w:jc w:val="both"/>
        <w:rPr>
          <w:rFonts w:eastAsia="Times New Roman" w:cs="Times New Roman"/>
          <w:szCs w:val="24"/>
        </w:rPr>
      </w:pPr>
      <w:r>
        <w:rPr>
          <w:rFonts w:eastAsia="Times New Roman" w:cs="Times New Roman"/>
          <w:color w:val="000000"/>
          <w:szCs w:val="24"/>
        </w:rPr>
        <w:t>Regulatory uncertainty of all types</w:t>
      </w:r>
      <w:r w:rsidR="00924635" w:rsidRPr="00EC79E0">
        <w:rPr>
          <w:rFonts w:eastAsia="Times New Roman" w:cs="Times New Roman"/>
          <w:color w:val="000000"/>
          <w:szCs w:val="24"/>
        </w:rPr>
        <w:t xml:space="preserve"> </w:t>
      </w:r>
      <w:r>
        <w:rPr>
          <w:rFonts w:eastAsia="Times New Roman" w:cs="Times New Roman"/>
          <w:color w:val="000000"/>
          <w:szCs w:val="24"/>
        </w:rPr>
        <w:t>involves a climate in which</w:t>
      </w:r>
      <w:r w:rsidR="00924635" w:rsidRPr="00EC79E0">
        <w:rPr>
          <w:rFonts w:eastAsia="Times New Roman" w:cs="Times New Roman"/>
          <w:color w:val="000000"/>
          <w:szCs w:val="24"/>
        </w:rPr>
        <w:t xml:space="preserve"> new rules might emerge once an industry is developed—presenting a potentially drawn-out legislative or regulatory process and the risk (to industry) of stringent, costly regulation in the future.</w:t>
      </w:r>
      <w:r>
        <w:rPr>
          <w:rFonts w:eastAsia="Times New Roman" w:cs="Times New Roman"/>
          <w:color w:val="000000"/>
          <w:szCs w:val="24"/>
        </w:rPr>
        <w:t xml:space="preserve"> For the public, there are concerns that the regulation will be inadequate to address risk, or, if there is high demand for the emerging product, </w:t>
      </w:r>
      <w:r w:rsidR="001866DC">
        <w:rPr>
          <w:rFonts w:eastAsia="Times New Roman" w:cs="Times New Roman"/>
          <w:color w:val="000000"/>
          <w:szCs w:val="24"/>
        </w:rPr>
        <w:t xml:space="preserve">that it </w:t>
      </w:r>
      <w:r>
        <w:rPr>
          <w:rFonts w:eastAsia="Times New Roman" w:cs="Times New Roman"/>
          <w:color w:val="000000"/>
          <w:szCs w:val="24"/>
        </w:rPr>
        <w:t>will stifle innovation.</w:t>
      </w:r>
      <w:r w:rsidR="00924635" w:rsidRPr="00EC79E0">
        <w:rPr>
          <w:rFonts w:eastAsia="Times New Roman" w:cs="Times New Roman"/>
          <w:color w:val="000000"/>
          <w:szCs w:val="24"/>
        </w:rPr>
        <w:t> </w:t>
      </w:r>
      <w:r w:rsidR="00166277">
        <w:rPr>
          <w:rFonts w:eastAsia="Times New Roman" w:cs="Times New Roman"/>
          <w:color w:val="000000"/>
          <w:szCs w:val="24"/>
        </w:rPr>
        <w:t xml:space="preserve"> </w:t>
      </w:r>
    </w:p>
    <w:p w14:paraId="0E8528D6" w14:textId="77777777" w:rsidR="00924635" w:rsidRPr="00EC79E0" w:rsidRDefault="00924635" w:rsidP="00924635">
      <w:pPr>
        <w:spacing w:after="0" w:line="240" w:lineRule="auto"/>
        <w:rPr>
          <w:rFonts w:eastAsia="Times New Roman" w:cs="Times New Roman"/>
          <w:szCs w:val="24"/>
        </w:rPr>
      </w:pPr>
    </w:p>
    <w:p w14:paraId="257C546A" w14:textId="28BF525B"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xml:space="preserve">For this type of substantive uncertainty—the question of whether the industry will be regulated at all, or banned, and </w:t>
      </w:r>
      <w:r w:rsidRPr="00EC79E0">
        <w:rPr>
          <w:rFonts w:eastAsia="Times New Roman" w:cs="Times New Roman"/>
          <w:i/>
          <w:iCs/>
          <w:color w:val="000000"/>
          <w:szCs w:val="24"/>
        </w:rPr>
        <w:t xml:space="preserve">how </w:t>
      </w:r>
      <w:r w:rsidRPr="00EC79E0">
        <w:rPr>
          <w:rFonts w:eastAsia="Times New Roman" w:cs="Times New Roman"/>
          <w:color w:val="000000"/>
          <w:szCs w:val="24"/>
        </w:rPr>
        <w:t xml:space="preserve">it will be regulated—self-regulatory standards can play an important role. These standards can fill in gaps and produce a somewhat predictable path forward for the industry. For the many types of regulations in which omissions are not a ban, the lack of any public regulation threatens to produce a regulatory “wild west” scenario, in which industry proceeds with no regulation. This, in turn, can </w:t>
      </w:r>
      <w:r w:rsidR="00BC761E">
        <w:rPr>
          <w:rFonts w:eastAsia="Times New Roman" w:cs="Times New Roman"/>
          <w:color w:val="000000"/>
          <w:szCs w:val="24"/>
        </w:rPr>
        <w:t xml:space="preserve">produce negative effects and </w:t>
      </w:r>
      <w:r w:rsidR="00A93B7F">
        <w:rPr>
          <w:rFonts w:eastAsia="Times New Roman" w:cs="Times New Roman"/>
          <w:color w:val="000000"/>
          <w:szCs w:val="24"/>
        </w:rPr>
        <w:t xml:space="preserve">understandably </w:t>
      </w:r>
      <w:r w:rsidRPr="00EC79E0">
        <w:rPr>
          <w:rFonts w:eastAsia="Times New Roman" w:cs="Times New Roman"/>
          <w:color w:val="000000"/>
          <w:szCs w:val="24"/>
        </w:rPr>
        <w:t xml:space="preserve">alarm residents near </w:t>
      </w:r>
      <w:r w:rsidR="00BC761E">
        <w:rPr>
          <w:rFonts w:eastAsia="Times New Roman" w:cs="Times New Roman"/>
          <w:color w:val="000000"/>
          <w:szCs w:val="24"/>
        </w:rPr>
        <w:t xml:space="preserve">or those affected by </w:t>
      </w:r>
      <w:r w:rsidRPr="00EC79E0">
        <w:rPr>
          <w:rFonts w:eastAsia="Times New Roman" w:cs="Times New Roman"/>
          <w:color w:val="000000"/>
          <w:szCs w:val="24"/>
        </w:rPr>
        <w:t>the emerging industry (not to mention risk-conscious investors) and can trigger moratoria and bans. A clear set of self-regulatory standards that are consistently enforced can alleviate a regulatory void</w:t>
      </w:r>
      <w:r w:rsidR="0030458B">
        <w:rPr>
          <w:rFonts w:eastAsia="Times New Roman" w:cs="Times New Roman"/>
          <w:color w:val="000000"/>
          <w:szCs w:val="24"/>
        </w:rPr>
        <w:t>, address emerging risks,</w:t>
      </w:r>
      <w:r w:rsidRPr="00EC79E0">
        <w:rPr>
          <w:rFonts w:eastAsia="Times New Roman" w:cs="Times New Roman"/>
          <w:color w:val="000000"/>
          <w:szCs w:val="24"/>
        </w:rPr>
        <w:t xml:space="preserve"> and potentially avoid the drastic public remedy of a ban. Indeed, particularly in the early stages of an industry, the industry actors themselves likely have superior knowledge of risks as compared to </w:t>
      </w:r>
      <w:r w:rsidRPr="00EC79E0">
        <w:rPr>
          <w:rFonts w:eastAsia="Times New Roman" w:cs="Times New Roman"/>
          <w:color w:val="000000"/>
          <w:szCs w:val="24"/>
        </w:rPr>
        <w:lastRenderedPageBreak/>
        <w:t>officials.</w:t>
      </w:r>
      <w:r w:rsidR="00B47C4A">
        <w:rPr>
          <w:rStyle w:val="FootnoteReference"/>
          <w:rFonts w:eastAsia="Times New Roman" w:cs="Times New Roman"/>
          <w:color w:val="000000"/>
          <w:szCs w:val="24"/>
        </w:rPr>
        <w:footnoteReference w:id="81"/>
      </w:r>
      <w:r w:rsidRPr="00EC79E0">
        <w:rPr>
          <w:rFonts w:eastAsia="Times New Roman" w:cs="Times New Roman"/>
          <w:color w:val="000000"/>
          <w:szCs w:val="24"/>
        </w:rPr>
        <w:t xml:space="preserve"> And if public regulation eventually emerges, it often incorporates some of the self-regulatory standards already in place, thereby avoiding dramatic substantive changes.</w:t>
      </w:r>
      <w:r w:rsidR="00B47C4A">
        <w:rPr>
          <w:rStyle w:val="FootnoteReference"/>
          <w:rFonts w:eastAsia="Times New Roman" w:cs="Times New Roman"/>
          <w:color w:val="000000"/>
          <w:szCs w:val="24"/>
        </w:rPr>
        <w:footnoteReference w:id="82"/>
      </w:r>
      <w:r w:rsidRPr="00EC79E0">
        <w:rPr>
          <w:rFonts w:eastAsia="Times New Roman" w:cs="Times New Roman"/>
          <w:color w:val="000000"/>
          <w:szCs w:val="24"/>
        </w:rPr>
        <w:t> </w:t>
      </w:r>
    </w:p>
    <w:p w14:paraId="2DBF229A" w14:textId="77777777" w:rsidR="00924635" w:rsidRPr="00EC79E0" w:rsidRDefault="00924635" w:rsidP="00924635">
      <w:pPr>
        <w:spacing w:after="0" w:line="240" w:lineRule="auto"/>
        <w:rPr>
          <w:rFonts w:eastAsia="Times New Roman" w:cs="Times New Roman"/>
          <w:szCs w:val="24"/>
        </w:rPr>
      </w:pPr>
    </w:p>
    <w:p w14:paraId="189F3B59" w14:textId="4B9372C6"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This very progression occurred within the oil and gas industry, for which there were few state-specific</w:t>
      </w:r>
      <w:r w:rsidR="00E52DBD">
        <w:rPr>
          <w:rFonts w:eastAsia="Times New Roman" w:cs="Times New Roman"/>
          <w:color w:val="000000"/>
          <w:szCs w:val="24"/>
        </w:rPr>
        <w:t xml:space="preserve"> environmental</w:t>
      </w:r>
      <w:r w:rsidRPr="00EC79E0">
        <w:rPr>
          <w:rFonts w:eastAsia="Times New Roman" w:cs="Times New Roman"/>
          <w:color w:val="000000"/>
          <w:szCs w:val="24"/>
        </w:rPr>
        <w:t xml:space="preserve"> regulations </w:t>
      </w:r>
      <w:r w:rsidR="00733AE8">
        <w:rPr>
          <w:rFonts w:eastAsia="Times New Roman" w:cs="Times New Roman"/>
          <w:color w:val="000000"/>
          <w:szCs w:val="24"/>
        </w:rPr>
        <w:t xml:space="preserve">of the oil and gas industry </w:t>
      </w:r>
      <w:r w:rsidRPr="00EC79E0">
        <w:rPr>
          <w:rFonts w:eastAsia="Times New Roman" w:cs="Times New Roman"/>
          <w:color w:val="000000"/>
          <w:szCs w:val="24"/>
        </w:rPr>
        <w:t>before a new type of hydraulic fracturing dramatically expanded in the mid-2000s, causing production to boom.</w:t>
      </w:r>
      <w:bookmarkStart w:id="29" w:name="_Ref142240038"/>
      <w:r w:rsidR="00B47C4A">
        <w:rPr>
          <w:rStyle w:val="FootnoteReference"/>
          <w:rFonts w:eastAsia="Times New Roman" w:cs="Times New Roman"/>
          <w:color w:val="000000"/>
          <w:szCs w:val="24"/>
        </w:rPr>
        <w:footnoteReference w:id="83"/>
      </w:r>
      <w:bookmarkEnd w:id="29"/>
      <w:r w:rsidRPr="00EC79E0">
        <w:rPr>
          <w:rFonts w:eastAsia="Times New Roman" w:cs="Times New Roman"/>
          <w:color w:val="000000"/>
          <w:szCs w:val="24"/>
        </w:rPr>
        <w:t xml:space="preserve"> A number of local governments with non-existent or sparse oil and gas ordinances, and certainly no comprehensive regulations specific to hydraulic fracturing, reacted with moratoria and bans.</w:t>
      </w:r>
      <w:r w:rsidR="001E1A78">
        <w:rPr>
          <w:rStyle w:val="FootnoteReference"/>
          <w:rFonts w:eastAsia="Times New Roman" w:cs="Times New Roman"/>
          <w:color w:val="000000"/>
          <w:szCs w:val="24"/>
        </w:rPr>
        <w:footnoteReference w:id="84"/>
      </w:r>
      <w:r w:rsidRPr="00EC79E0">
        <w:rPr>
          <w:rFonts w:eastAsia="Times New Roman" w:cs="Times New Roman"/>
          <w:color w:val="000000"/>
          <w:szCs w:val="24"/>
        </w:rPr>
        <w:t xml:space="preserve"> Others allowed the development to proceed and eventually incorporated a substantial number of the API standards that industry already followed, such as regulation of the safe construction of wells to prevent leakage of pollution underground; standards for property design and operation of waste impoundments; and preferred technologies that prevent dangerous well explosions during drilling and hydraulic fracturing.</w:t>
      </w:r>
      <w:r w:rsidR="00B47C4A">
        <w:rPr>
          <w:rStyle w:val="FootnoteReference"/>
          <w:rFonts w:eastAsia="Times New Roman" w:cs="Times New Roman"/>
          <w:color w:val="000000"/>
          <w:szCs w:val="24"/>
        </w:rPr>
        <w:footnoteReference w:id="85"/>
      </w:r>
      <w:r w:rsidRPr="00EC79E0">
        <w:rPr>
          <w:rFonts w:eastAsia="Times New Roman" w:cs="Times New Roman"/>
          <w:color w:val="000000"/>
          <w:szCs w:val="24"/>
        </w:rPr>
        <w:t xml:space="preserve"> With many of the outright bans and moratoria facing trouble in court, the private API standards approach quickly became the standard. But without the standards in place, the regulatory vacuum that might have existed would likely have changed the dynamics of how courts and other policymakers viewed heavy-handed, precautionary regulation.</w:t>
      </w:r>
    </w:p>
    <w:p w14:paraId="2FB49129" w14:textId="77777777" w:rsidR="00924635" w:rsidRPr="00EC79E0" w:rsidRDefault="00924635" w:rsidP="00924635">
      <w:pPr>
        <w:spacing w:after="0" w:line="240" w:lineRule="auto"/>
        <w:rPr>
          <w:rFonts w:eastAsia="Times New Roman" w:cs="Times New Roman"/>
          <w:szCs w:val="24"/>
        </w:rPr>
      </w:pPr>
    </w:p>
    <w:p w14:paraId="3D31A4D7" w14:textId="3B1D6E50" w:rsidR="00924635" w:rsidRDefault="00924635" w:rsidP="0092463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As we will discuss in more detail in Part III, a great deal of substantive regulatory gap-filling of this sort already appears to be occurring in the hydrogen context. The industry recognized the lack of</w:t>
      </w:r>
      <w:r w:rsidR="001866DC">
        <w:rPr>
          <w:rFonts w:eastAsia="Times New Roman" w:cs="Times New Roman"/>
          <w:color w:val="000000"/>
          <w:szCs w:val="24"/>
        </w:rPr>
        <w:t xml:space="preserve"> a</w:t>
      </w:r>
      <w:r w:rsidRPr="00EC79E0">
        <w:rPr>
          <w:rFonts w:eastAsia="Times New Roman" w:cs="Times New Roman"/>
          <w:color w:val="000000"/>
          <w:szCs w:val="24"/>
        </w:rPr>
        <w:t xml:space="preserve"> clear standard for the safety of hydrogen pipelines as an impediment to growth as early as 2007, when the American Society of Mechanical Engineers was in the process of developing consensus standards for such pipelines. As the president of ASME’s technical branch noted in 2009, although the “traditional approach to standardization has included writing prescriptive standards only after technology is fully established and after commercialization has been completed,” a “lack of standards in a particular area can actually create a barrier to commercialization</w:t>
      </w:r>
      <w:r w:rsidR="00B47C4A">
        <w:rPr>
          <w:rFonts w:eastAsia="Times New Roman" w:cs="Times New Roman"/>
          <w:color w:val="000000"/>
          <w:szCs w:val="24"/>
        </w:rPr>
        <w:t>.”</w:t>
      </w:r>
      <w:bookmarkStart w:id="30" w:name="_Ref142252604"/>
      <w:r w:rsidR="00B47C4A">
        <w:rPr>
          <w:rStyle w:val="FootnoteReference"/>
          <w:rFonts w:eastAsia="Times New Roman" w:cs="Times New Roman"/>
          <w:color w:val="000000"/>
          <w:szCs w:val="24"/>
        </w:rPr>
        <w:footnoteReference w:id="86"/>
      </w:r>
      <w:bookmarkEnd w:id="30"/>
      <w:r w:rsidRPr="00EC79E0">
        <w:rPr>
          <w:rFonts w:eastAsia="Times New Roman" w:cs="Times New Roman"/>
          <w:color w:val="000000"/>
          <w:szCs w:val="24"/>
        </w:rPr>
        <w:t> </w:t>
      </w:r>
    </w:p>
    <w:p w14:paraId="581E810D" w14:textId="3C1EFEA8" w:rsidR="00AA234B" w:rsidRDefault="00AA234B" w:rsidP="00924635">
      <w:pPr>
        <w:spacing w:after="0" w:line="240" w:lineRule="auto"/>
        <w:ind w:firstLine="720"/>
        <w:jc w:val="both"/>
        <w:rPr>
          <w:rFonts w:eastAsia="Times New Roman" w:cs="Times New Roman"/>
          <w:color w:val="000000"/>
          <w:szCs w:val="24"/>
        </w:rPr>
      </w:pPr>
    </w:p>
    <w:p w14:paraId="09ED37C4" w14:textId="72A6EABF" w:rsidR="00AA234B" w:rsidRPr="00EC79E0" w:rsidRDefault="00AA234B" w:rsidP="00924635">
      <w:pPr>
        <w:spacing w:after="0" w:line="240" w:lineRule="auto"/>
        <w:ind w:firstLine="720"/>
        <w:jc w:val="both"/>
        <w:rPr>
          <w:rFonts w:eastAsia="Times New Roman" w:cs="Times New Roman"/>
          <w:szCs w:val="24"/>
        </w:rPr>
      </w:pPr>
      <w:r>
        <w:rPr>
          <w:rFonts w:eastAsia="Times New Roman" w:cs="Times New Roman"/>
          <w:color w:val="000000"/>
          <w:szCs w:val="24"/>
        </w:rPr>
        <w:lastRenderedPageBreak/>
        <w:t>Similar concerns a</w:t>
      </w:r>
      <w:r w:rsidR="008B2A05">
        <w:rPr>
          <w:rFonts w:eastAsia="Times New Roman" w:cs="Times New Roman"/>
          <w:color w:val="000000"/>
          <w:szCs w:val="24"/>
        </w:rPr>
        <w:t xml:space="preserve">bound for the artificial intelligence industry, which is very aware of the risks posed by its technology and the </w:t>
      </w:r>
      <w:r w:rsidR="00077CCC">
        <w:rPr>
          <w:rFonts w:eastAsia="Times New Roman" w:cs="Times New Roman"/>
          <w:color w:val="000000"/>
          <w:szCs w:val="24"/>
        </w:rPr>
        <w:t xml:space="preserve">harm that could ensue (in addition to, potentially, more heavy-handed regulation than the industry would prefer). In addition to launching an SRO in July 2023 to address these risks, the </w:t>
      </w:r>
      <w:r w:rsidR="00700984">
        <w:rPr>
          <w:rFonts w:eastAsia="Times New Roman" w:cs="Times New Roman"/>
          <w:color w:val="000000"/>
          <w:szCs w:val="24"/>
        </w:rPr>
        <w:t>chief executive of OpenAI testified before Congress in May 2023</w:t>
      </w:r>
      <w:r w:rsidR="00B762ED">
        <w:rPr>
          <w:rFonts w:eastAsia="Times New Roman" w:cs="Times New Roman"/>
          <w:color w:val="000000"/>
          <w:szCs w:val="24"/>
        </w:rPr>
        <w:t>, acknowledging that the technology could do “significant harm to the world</w:t>
      </w:r>
      <w:r w:rsidR="001866DC">
        <w:rPr>
          <w:rFonts w:eastAsia="Times New Roman" w:cs="Times New Roman"/>
          <w:color w:val="000000"/>
          <w:szCs w:val="24"/>
        </w:rPr>
        <w:t>”</w:t>
      </w:r>
      <w:r w:rsidR="00B762ED">
        <w:rPr>
          <w:rFonts w:eastAsia="Times New Roman" w:cs="Times New Roman"/>
          <w:color w:val="000000"/>
          <w:szCs w:val="24"/>
        </w:rPr>
        <w:t xml:space="preserve"> and supporting government oversight.</w:t>
      </w:r>
      <w:bookmarkStart w:id="31" w:name="_Ref141703323"/>
      <w:r w:rsidR="00B762ED">
        <w:rPr>
          <w:rStyle w:val="FootnoteReference"/>
          <w:rFonts w:eastAsia="Times New Roman" w:cs="Times New Roman"/>
          <w:color w:val="000000"/>
          <w:szCs w:val="24"/>
        </w:rPr>
        <w:footnoteReference w:id="87"/>
      </w:r>
      <w:bookmarkEnd w:id="31"/>
    </w:p>
    <w:p w14:paraId="348DA8DE"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szCs w:val="24"/>
        </w:rPr>
        <w:br/>
      </w:r>
    </w:p>
    <w:p w14:paraId="3994218B" w14:textId="77777777" w:rsidR="00924635" w:rsidRPr="00EC79E0" w:rsidRDefault="00924635" w:rsidP="00924635">
      <w:pPr>
        <w:numPr>
          <w:ilvl w:val="0"/>
          <w:numId w:val="7"/>
        </w:numPr>
        <w:spacing w:after="0" w:line="240" w:lineRule="auto"/>
        <w:ind w:left="1440"/>
        <w:jc w:val="both"/>
        <w:textAlignment w:val="baseline"/>
        <w:rPr>
          <w:rFonts w:eastAsia="Times New Roman" w:cs="Times New Roman"/>
          <w:color w:val="000000"/>
          <w:szCs w:val="24"/>
        </w:rPr>
      </w:pPr>
      <w:r w:rsidRPr="00EC79E0">
        <w:rPr>
          <w:rFonts w:eastAsia="Times New Roman" w:cs="Times New Roman"/>
          <w:color w:val="000000"/>
          <w:szCs w:val="24"/>
        </w:rPr>
        <w:t>Stable Jurisdictional Control </w:t>
      </w:r>
    </w:p>
    <w:p w14:paraId="02D7A39F" w14:textId="77777777" w:rsidR="00924635" w:rsidRPr="00EC79E0" w:rsidRDefault="00924635" w:rsidP="00924635">
      <w:pPr>
        <w:spacing w:after="0" w:line="240" w:lineRule="auto"/>
        <w:rPr>
          <w:rFonts w:eastAsia="Times New Roman" w:cs="Times New Roman"/>
          <w:szCs w:val="24"/>
        </w:rPr>
      </w:pPr>
    </w:p>
    <w:p w14:paraId="397ED538" w14:textId="77777777" w:rsidR="00221580" w:rsidRDefault="00924635" w:rsidP="00403D8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Beyond substantive omissions or a lack of clarity, another type of regulatory uncertainty is jurisdictional, involving the serious issue of which level or levels of government will regulate and whether an industry will be subject to conflicting regulatory regimes at different levels.</w:t>
      </w:r>
      <w:r w:rsidR="00B47C4A">
        <w:rPr>
          <w:rStyle w:val="FootnoteReference"/>
          <w:rFonts w:eastAsia="Times New Roman" w:cs="Times New Roman"/>
          <w:color w:val="000000"/>
          <w:szCs w:val="24"/>
        </w:rPr>
        <w:footnoteReference w:id="88"/>
      </w:r>
      <w:r w:rsidRPr="00EC79E0">
        <w:rPr>
          <w:rFonts w:eastAsia="Times New Roman" w:cs="Times New Roman"/>
          <w:color w:val="000000"/>
          <w:szCs w:val="24"/>
        </w:rPr>
        <w:t xml:space="preserve"> This type of uncertainty can in some cases be beneficial—e.g., by allowing the emerging industry to experiment in a variety of locations without a national standard that has incorrectly predicted the risks. This jurisdictional openness can support the same type of experimentation with standards discussed in Part B.1.A., which can again produce effective, responsive, and efficient rules.</w:t>
      </w:r>
      <w:r w:rsidR="00B47C4A">
        <w:rPr>
          <w:rStyle w:val="FootnoteReference"/>
          <w:rFonts w:eastAsia="Times New Roman" w:cs="Times New Roman"/>
          <w:color w:val="000000"/>
          <w:szCs w:val="24"/>
        </w:rPr>
        <w:footnoteReference w:id="89"/>
      </w:r>
      <w:r w:rsidRPr="00EC79E0">
        <w:rPr>
          <w:rFonts w:eastAsia="Times New Roman" w:cs="Times New Roman"/>
          <w:color w:val="000000"/>
          <w:szCs w:val="24"/>
        </w:rPr>
        <w:t xml:space="preserve"> But jurisdictional uncertainty, in particular, as opposed to a mere substantive diversity of standards as an industry emerges, can also pose a formidable obstacle. The emerging cannabis industry is a case in point. As Professor Jonathan Adler observes, this policy area is a key example of competitive federalism, in which states compete to offer packages of policies preferred by voters. Yet federal law, which impedes everything from bank lending to tax credits in the area of legalized marijuana, often gets in the way of what could be productive competition.</w:t>
      </w:r>
      <w:r w:rsidR="00B47C4A">
        <w:rPr>
          <w:rStyle w:val="FootnoteReference"/>
          <w:rFonts w:eastAsia="Times New Roman" w:cs="Times New Roman"/>
          <w:color w:val="000000"/>
          <w:szCs w:val="24"/>
        </w:rPr>
        <w:footnoteReference w:id="90"/>
      </w:r>
      <w:r w:rsidRPr="00EC79E0">
        <w:rPr>
          <w:rFonts w:eastAsia="Times New Roman" w:cs="Times New Roman"/>
          <w:color w:val="000000"/>
          <w:szCs w:val="24"/>
        </w:rPr>
        <w:t xml:space="preserve"> Indeed, ASTM International plays a key role in providing a comprehensive set of private cannabis standards to support quality assurance, marketing, testing, and other aspects of the industry within a complex federal jurisdictional climate.</w:t>
      </w:r>
      <w:r w:rsidR="00B47C4A">
        <w:rPr>
          <w:rStyle w:val="FootnoteReference"/>
          <w:rFonts w:eastAsia="Times New Roman" w:cs="Times New Roman"/>
          <w:color w:val="000000"/>
          <w:szCs w:val="24"/>
        </w:rPr>
        <w:footnoteReference w:id="91"/>
      </w:r>
      <w:r w:rsidRPr="00EC79E0">
        <w:rPr>
          <w:rFonts w:eastAsia="Times New Roman" w:cs="Times New Roman"/>
          <w:color w:val="000000"/>
          <w:szCs w:val="24"/>
        </w:rPr>
        <w:t xml:space="preserve"> </w:t>
      </w:r>
    </w:p>
    <w:p w14:paraId="2AB5AEFD" w14:textId="77777777" w:rsidR="00221580" w:rsidRDefault="00221580" w:rsidP="00924635">
      <w:pPr>
        <w:spacing w:after="0" w:line="240" w:lineRule="auto"/>
        <w:jc w:val="both"/>
        <w:rPr>
          <w:rFonts w:eastAsia="Times New Roman" w:cs="Times New Roman"/>
          <w:color w:val="000000"/>
          <w:szCs w:val="24"/>
        </w:rPr>
      </w:pPr>
    </w:p>
    <w:p w14:paraId="633DD987" w14:textId="7D2AB4BB" w:rsidR="001866DC" w:rsidRDefault="00924635" w:rsidP="00221580">
      <w:pPr>
        <w:spacing w:after="0" w:line="240" w:lineRule="auto"/>
        <w:ind w:firstLine="720"/>
        <w:jc w:val="both"/>
        <w:rPr>
          <w:rFonts w:eastAsia="Times New Roman" w:cs="Times New Roman"/>
          <w:szCs w:val="24"/>
        </w:rPr>
      </w:pPr>
      <w:r w:rsidRPr="00EC79E0">
        <w:rPr>
          <w:rFonts w:eastAsia="Times New Roman" w:cs="Times New Roman"/>
          <w:color w:val="000000"/>
          <w:szCs w:val="24"/>
        </w:rPr>
        <w:t>The Internet represented</w:t>
      </w:r>
      <w:r w:rsidR="00221580">
        <w:rPr>
          <w:rFonts w:eastAsia="Times New Roman" w:cs="Times New Roman"/>
          <w:color w:val="000000"/>
          <w:szCs w:val="24"/>
        </w:rPr>
        <w:t>—and AI now represents—</w:t>
      </w:r>
      <w:r w:rsidRPr="00EC79E0">
        <w:rPr>
          <w:rFonts w:eastAsia="Times New Roman" w:cs="Times New Roman"/>
          <w:color w:val="000000"/>
          <w:szCs w:val="24"/>
        </w:rPr>
        <w:t>an even more uncertain jurisdictional extreme, presenting a form of industry that transcended sovereign boundaries and defied traditional jurisdictional control.</w:t>
      </w:r>
      <w:r w:rsidR="00167041">
        <w:rPr>
          <w:rStyle w:val="FootnoteReference"/>
          <w:rFonts w:eastAsia="Times New Roman" w:cs="Times New Roman"/>
          <w:color w:val="000000"/>
          <w:szCs w:val="24"/>
        </w:rPr>
        <w:footnoteReference w:id="92"/>
      </w:r>
      <w:r w:rsidRPr="00EC79E0">
        <w:rPr>
          <w:rFonts w:eastAsia="Times New Roman" w:cs="Times New Roman"/>
          <w:color w:val="000000"/>
          <w:szCs w:val="24"/>
        </w:rPr>
        <w:t xml:space="preserve"> </w:t>
      </w:r>
      <w:r w:rsidR="001866DC">
        <w:rPr>
          <w:rFonts w:eastAsia="Times New Roman" w:cs="Times New Roman"/>
          <w:color w:val="000000"/>
          <w:szCs w:val="24"/>
        </w:rPr>
        <w:t xml:space="preserve">It is hard to imagine any industry that has not been touched by </w:t>
      </w:r>
      <w:r w:rsidR="001866DC">
        <w:rPr>
          <w:rFonts w:eastAsia="Times New Roman" w:cs="Times New Roman"/>
          <w:color w:val="000000"/>
          <w:szCs w:val="24"/>
        </w:rPr>
        <w:lastRenderedPageBreak/>
        <w:t>Internet technologies, or that will be touched by AI in the future, yet there are no</w:t>
      </w:r>
      <w:r w:rsidR="008A26FF">
        <w:rPr>
          <w:rFonts w:eastAsia="Times New Roman" w:cs="Times New Roman"/>
          <w:color w:val="000000"/>
          <w:szCs w:val="24"/>
        </w:rPr>
        <w:t xml:space="preserve"> sovereign actors with comprehensive authority over all economic activities that might rely on these technologies. </w:t>
      </w:r>
      <w:r w:rsidRPr="00EC79E0">
        <w:rPr>
          <w:rFonts w:eastAsia="Times New Roman" w:cs="Times New Roman"/>
          <w:color w:val="000000"/>
          <w:szCs w:val="24"/>
        </w:rPr>
        <w:t>Here, self-regulation of a broad suite of practices and technologies</w:t>
      </w:r>
      <w:r w:rsidR="006E26C3">
        <w:rPr>
          <w:rFonts w:eastAsia="Times New Roman" w:cs="Times New Roman"/>
          <w:color w:val="000000"/>
          <w:szCs w:val="24"/>
        </w:rPr>
        <w:t>, complemented by public standards,</w:t>
      </w:r>
      <w:r w:rsidRPr="00EC79E0">
        <w:rPr>
          <w:rFonts w:eastAsia="Times New Roman" w:cs="Times New Roman"/>
          <w:color w:val="000000"/>
          <w:szCs w:val="24"/>
        </w:rPr>
        <w:t xml:space="preserve"> was</w:t>
      </w:r>
      <w:r w:rsidR="00221580">
        <w:rPr>
          <w:rFonts w:eastAsia="Times New Roman" w:cs="Times New Roman"/>
          <w:color w:val="000000"/>
          <w:szCs w:val="24"/>
        </w:rPr>
        <w:t xml:space="preserve"> and is</w:t>
      </w:r>
      <w:r w:rsidRPr="00EC79E0">
        <w:rPr>
          <w:rFonts w:eastAsia="Times New Roman" w:cs="Times New Roman"/>
          <w:color w:val="000000"/>
          <w:szCs w:val="24"/>
        </w:rPr>
        <w:t xml:space="preserve"> essential</w:t>
      </w:r>
      <w:r w:rsidR="008A26FF">
        <w:rPr>
          <w:rFonts w:eastAsia="Times New Roman" w:cs="Times New Roman"/>
          <w:color w:val="000000"/>
          <w:szCs w:val="24"/>
        </w:rPr>
        <w:t xml:space="preserve"> because it can respond to issues in the use of these technologies wherever and whenever they occur</w:t>
      </w:r>
      <w:r w:rsidRPr="00EC79E0">
        <w:rPr>
          <w:rFonts w:eastAsia="Times New Roman" w:cs="Times New Roman"/>
          <w:color w:val="000000"/>
          <w:szCs w:val="24"/>
        </w:rPr>
        <w:t>, as we discuss in Part III</w:t>
      </w:r>
      <w:r w:rsidR="001866DC">
        <w:rPr>
          <w:rFonts w:eastAsia="Times New Roman" w:cs="Times New Roman"/>
          <w:szCs w:val="24"/>
        </w:rPr>
        <w:t>.</w:t>
      </w:r>
    </w:p>
    <w:p w14:paraId="36D29B33" w14:textId="77777777" w:rsidR="00924635" w:rsidRPr="00EC79E0" w:rsidRDefault="00924635" w:rsidP="00924635">
      <w:pPr>
        <w:spacing w:after="0" w:line="240" w:lineRule="auto"/>
        <w:rPr>
          <w:rFonts w:eastAsia="Times New Roman" w:cs="Times New Roman"/>
          <w:szCs w:val="24"/>
        </w:rPr>
      </w:pPr>
    </w:p>
    <w:p w14:paraId="4898CCB1" w14:textId="77777777" w:rsidR="00924635" w:rsidRPr="00EC79E0" w:rsidRDefault="00924635" w:rsidP="00924635">
      <w:pPr>
        <w:numPr>
          <w:ilvl w:val="0"/>
          <w:numId w:val="8"/>
        </w:numPr>
        <w:spacing w:after="0" w:line="240" w:lineRule="auto"/>
        <w:ind w:left="1440"/>
        <w:jc w:val="both"/>
        <w:textAlignment w:val="baseline"/>
        <w:rPr>
          <w:rFonts w:eastAsia="Times New Roman" w:cs="Times New Roman"/>
          <w:color w:val="000000"/>
          <w:szCs w:val="24"/>
        </w:rPr>
      </w:pPr>
      <w:r w:rsidRPr="00EC79E0">
        <w:rPr>
          <w:rFonts w:eastAsia="Times New Roman" w:cs="Times New Roman"/>
          <w:color w:val="000000"/>
          <w:szCs w:val="24"/>
        </w:rPr>
        <w:t>Flexibility </w:t>
      </w:r>
    </w:p>
    <w:p w14:paraId="28F181FC" w14:textId="77777777" w:rsidR="00924635" w:rsidRPr="00EC79E0" w:rsidRDefault="00924635" w:rsidP="00924635">
      <w:pPr>
        <w:spacing w:after="0" w:line="240" w:lineRule="auto"/>
        <w:rPr>
          <w:rFonts w:eastAsia="Times New Roman" w:cs="Times New Roman"/>
          <w:szCs w:val="24"/>
        </w:rPr>
      </w:pPr>
    </w:p>
    <w:p w14:paraId="2BEA4A89" w14:textId="5DBA8F73" w:rsidR="008C4B0C" w:rsidRDefault="00924635" w:rsidP="0092463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 xml:space="preserve">Although emerging industries need reasonably predictable rules and knowledge of the jurisdictional level at which these rules will be promulgated and implemented, </w:t>
      </w:r>
      <w:r w:rsidRPr="00EC79E0">
        <w:rPr>
          <w:rFonts w:eastAsia="Times New Roman" w:cs="Times New Roman"/>
          <w:i/>
          <w:iCs/>
          <w:color w:val="000000"/>
          <w:szCs w:val="24"/>
        </w:rPr>
        <w:t xml:space="preserve">flexible </w:t>
      </w:r>
      <w:r w:rsidRPr="00EC79E0">
        <w:rPr>
          <w:rFonts w:eastAsia="Times New Roman" w:cs="Times New Roman"/>
          <w:color w:val="000000"/>
          <w:szCs w:val="24"/>
        </w:rPr>
        <w:t>rules that allow for learning and updating are also critical. Here, there is a delicate balance between certainty and durability, on the one hand, and the need to be able to modify rules when there is a good reason to do so, such as when new risks become apparent or when new technologies come on the scene and take the industry in an unpredicted direction. Substantive flexibility is built into self-regulatory regimes, with most standard-setting organizations having regular schedules for reviewing and updating standards. As shown in Part III below, the SSOs with hydrogen standards have in some cases already amended or updated these standards several times</w:t>
      </w:r>
      <w:r w:rsidR="003A7EA2">
        <w:rPr>
          <w:rFonts w:eastAsia="Times New Roman" w:cs="Times New Roman"/>
          <w:color w:val="000000"/>
          <w:szCs w:val="24"/>
        </w:rPr>
        <w:t>,</w:t>
      </w:r>
      <w:r w:rsidRPr="00EC79E0">
        <w:rPr>
          <w:rFonts w:eastAsia="Times New Roman" w:cs="Times New Roman"/>
          <w:color w:val="000000"/>
          <w:szCs w:val="24"/>
        </w:rPr>
        <w:t xml:space="preserve"> or even canceled them in light of new data on superior self-regulatory approaches. </w:t>
      </w:r>
    </w:p>
    <w:p w14:paraId="1F50A3AA" w14:textId="77777777" w:rsidR="008C4B0C" w:rsidRDefault="008C4B0C" w:rsidP="00924635">
      <w:pPr>
        <w:spacing w:after="0" w:line="240" w:lineRule="auto"/>
        <w:ind w:firstLine="720"/>
        <w:jc w:val="both"/>
        <w:rPr>
          <w:rFonts w:eastAsia="Times New Roman" w:cs="Times New Roman"/>
          <w:color w:val="000000"/>
          <w:szCs w:val="24"/>
        </w:rPr>
      </w:pPr>
    </w:p>
    <w:p w14:paraId="5B369633" w14:textId="562F05A8" w:rsidR="00752DDC" w:rsidRDefault="0018680A" w:rsidP="00924635">
      <w:pPr>
        <w:spacing w:after="0" w:line="240" w:lineRule="auto"/>
        <w:ind w:firstLine="720"/>
        <w:jc w:val="both"/>
        <w:rPr>
          <w:rFonts w:eastAsia="Times New Roman" w:cs="Times New Roman"/>
          <w:color w:val="000000"/>
          <w:szCs w:val="24"/>
        </w:rPr>
      </w:pPr>
      <w:r>
        <w:rPr>
          <w:rFonts w:eastAsia="Times New Roman" w:cs="Times New Roman"/>
          <w:color w:val="000000"/>
          <w:szCs w:val="24"/>
        </w:rPr>
        <w:t xml:space="preserve">In the oil and gas context, the American Petroleum Institute has three models for updating standards: </w:t>
      </w:r>
      <w:r w:rsidR="008C4B0C">
        <w:rPr>
          <w:rFonts w:eastAsia="Times New Roman" w:cs="Times New Roman"/>
          <w:color w:val="000000"/>
          <w:szCs w:val="24"/>
        </w:rPr>
        <w:t xml:space="preserve">1) </w:t>
      </w:r>
      <w:r>
        <w:rPr>
          <w:rFonts w:eastAsia="Times New Roman" w:cs="Times New Roman"/>
          <w:color w:val="000000"/>
          <w:szCs w:val="24"/>
        </w:rPr>
        <w:t xml:space="preserve">“periodic maintenance,” in which standards </w:t>
      </w:r>
      <w:r w:rsidR="00F50C78">
        <w:rPr>
          <w:rFonts w:eastAsia="Times New Roman" w:cs="Times New Roman"/>
          <w:color w:val="000000"/>
          <w:szCs w:val="24"/>
        </w:rPr>
        <w:t xml:space="preserve">must be reviewed “when technological changes affect their currency or at least once every 5 years”; </w:t>
      </w:r>
      <w:r w:rsidR="008C4B0C">
        <w:rPr>
          <w:rFonts w:eastAsia="Times New Roman" w:cs="Times New Roman"/>
          <w:color w:val="000000"/>
          <w:szCs w:val="24"/>
        </w:rPr>
        <w:t xml:space="preserve">2) </w:t>
      </w:r>
      <w:r w:rsidR="00874D79">
        <w:rPr>
          <w:rFonts w:eastAsia="Times New Roman" w:cs="Times New Roman"/>
          <w:color w:val="000000"/>
          <w:szCs w:val="24"/>
        </w:rPr>
        <w:t xml:space="preserve">“continuous maintenance,” </w:t>
      </w:r>
      <w:r w:rsidR="00733115">
        <w:rPr>
          <w:rFonts w:eastAsia="Times New Roman" w:cs="Times New Roman"/>
          <w:color w:val="000000"/>
          <w:szCs w:val="24"/>
        </w:rPr>
        <w:t xml:space="preserve">for which </w:t>
      </w:r>
      <w:r w:rsidR="008C4B0C">
        <w:rPr>
          <w:rFonts w:eastAsia="Times New Roman" w:cs="Times New Roman"/>
          <w:color w:val="000000"/>
          <w:szCs w:val="24"/>
        </w:rPr>
        <w:t xml:space="preserve">revisions may be proposed at any time,”; and 3) </w:t>
      </w:r>
      <w:r w:rsidR="0074725C">
        <w:rPr>
          <w:rFonts w:eastAsia="Times New Roman" w:cs="Times New Roman"/>
          <w:color w:val="000000"/>
          <w:szCs w:val="24"/>
        </w:rPr>
        <w:t>“stabilized maintenance,” under which standards for mature technologies and practices must be reviewed every ten years.</w:t>
      </w:r>
      <w:r w:rsidR="0074725C">
        <w:rPr>
          <w:rStyle w:val="FootnoteReference"/>
          <w:rFonts w:eastAsia="Times New Roman" w:cs="Times New Roman"/>
          <w:color w:val="000000"/>
          <w:szCs w:val="24"/>
        </w:rPr>
        <w:footnoteReference w:id="93"/>
      </w:r>
    </w:p>
    <w:p w14:paraId="6798F5F9" w14:textId="77777777" w:rsidR="00752DDC" w:rsidRDefault="00752DDC" w:rsidP="00924635">
      <w:pPr>
        <w:spacing w:after="0" w:line="240" w:lineRule="auto"/>
        <w:ind w:firstLine="720"/>
        <w:jc w:val="both"/>
        <w:rPr>
          <w:rFonts w:eastAsia="Times New Roman" w:cs="Times New Roman"/>
          <w:color w:val="000000"/>
          <w:szCs w:val="24"/>
        </w:rPr>
      </w:pPr>
    </w:p>
    <w:p w14:paraId="541478A9" w14:textId="462BE61F" w:rsidR="00924635" w:rsidRPr="00EC79E0" w:rsidRDefault="00752DDC" w:rsidP="00924635">
      <w:pPr>
        <w:spacing w:after="0" w:line="240" w:lineRule="auto"/>
        <w:ind w:firstLine="720"/>
        <w:jc w:val="both"/>
        <w:rPr>
          <w:rFonts w:eastAsia="Times New Roman" w:cs="Times New Roman"/>
          <w:szCs w:val="24"/>
        </w:rPr>
      </w:pPr>
      <w:r>
        <w:rPr>
          <w:rFonts w:eastAsia="Times New Roman" w:cs="Times New Roman"/>
          <w:color w:val="000000"/>
          <w:szCs w:val="24"/>
        </w:rPr>
        <w:t xml:space="preserve">Periodic amending and updating of standards </w:t>
      </w:r>
      <w:proofErr w:type="gramStart"/>
      <w:r>
        <w:rPr>
          <w:rFonts w:eastAsia="Times New Roman" w:cs="Times New Roman"/>
          <w:color w:val="000000"/>
          <w:szCs w:val="24"/>
        </w:rPr>
        <w:t>produces</w:t>
      </w:r>
      <w:proofErr w:type="gramEnd"/>
      <w:r w:rsidR="00924635" w:rsidRPr="00EC79E0">
        <w:rPr>
          <w:rFonts w:eastAsia="Times New Roman" w:cs="Times New Roman"/>
          <w:color w:val="000000"/>
          <w:szCs w:val="24"/>
        </w:rPr>
        <w:t xml:space="preserve"> calculated flexibility—a form of regular, scheduled modification and updating of standards that does not unduly compromise certainty. Public regulation can and sometimes does achieve a similar result through requirements for the periodic sunsetting and review of rules,</w:t>
      </w:r>
      <w:r w:rsidR="004245CB">
        <w:rPr>
          <w:rStyle w:val="FootnoteReference"/>
          <w:rFonts w:eastAsia="Times New Roman" w:cs="Times New Roman"/>
          <w:color w:val="000000"/>
          <w:szCs w:val="24"/>
        </w:rPr>
        <w:footnoteReference w:id="94"/>
      </w:r>
      <w:r w:rsidR="00924635" w:rsidRPr="00EC79E0">
        <w:rPr>
          <w:rFonts w:eastAsia="Times New Roman" w:cs="Times New Roman"/>
          <w:color w:val="000000"/>
          <w:szCs w:val="24"/>
        </w:rPr>
        <w:t xml:space="preserve"> but empirically speaking, such rules appear far less prevalent than built-in review in the self-regulatory context. </w:t>
      </w:r>
    </w:p>
    <w:p w14:paraId="3065DC9D" w14:textId="77777777" w:rsidR="00924635" w:rsidRPr="00EC79E0" w:rsidRDefault="00924635" w:rsidP="00924635">
      <w:pPr>
        <w:spacing w:after="0" w:line="240" w:lineRule="auto"/>
        <w:rPr>
          <w:rFonts w:eastAsia="Times New Roman" w:cs="Times New Roman"/>
          <w:szCs w:val="24"/>
        </w:rPr>
      </w:pPr>
    </w:p>
    <w:p w14:paraId="4ECD381E" w14:textId="60F6B829"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Self-regulation also offers important jurisdictional certainty and flexibility–giving a national or international SSO</w:t>
      </w:r>
      <w:r w:rsidR="00D3410F">
        <w:rPr>
          <w:rFonts w:eastAsia="Times New Roman" w:cs="Times New Roman"/>
          <w:color w:val="000000"/>
          <w:szCs w:val="24"/>
        </w:rPr>
        <w:t xml:space="preserve"> or SRO</w:t>
      </w:r>
      <w:r w:rsidRPr="00EC79E0">
        <w:rPr>
          <w:rFonts w:eastAsia="Times New Roman" w:cs="Times New Roman"/>
          <w:color w:val="000000"/>
          <w:szCs w:val="24"/>
        </w:rPr>
        <w:t xml:space="preserve"> primary control </w:t>
      </w:r>
      <w:r w:rsidRPr="00EC79E0">
        <w:rPr>
          <w:rFonts w:eastAsia="Times New Roman" w:cs="Times New Roman"/>
          <w:color w:val="000000"/>
          <w:szCs w:val="24"/>
        </w:rPr>
        <w:lastRenderedPageBreak/>
        <w:t>while providing room for state, federal, or international government actors to enter the regulatory sphere, either by displacing some standards or, as often occurs, incorporating many of them by reference. </w:t>
      </w:r>
    </w:p>
    <w:p w14:paraId="31EEC2DF"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szCs w:val="24"/>
        </w:rPr>
        <w:br/>
      </w:r>
    </w:p>
    <w:p w14:paraId="2FB6B509" w14:textId="6322FFA8" w:rsidR="00924635" w:rsidRPr="00EC79E0" w:rsidRDefault="00523783" w:rsidP="00523783">
      <w:pPr>
        <w:pStyle w:val="Heading3"/>
        <w:ind w:left="720" w:hanging="720"/>
        <w:rPr>
          <w:rFonts w:eastAsia="Times New Roman"/>
        </w:rPr>
      </w:pPr>
      <w:bookmarkStart w:id="32" w:name="_Toc141791876"/>
      <w:r>
        <w:rPr>
          <w:rFonts w:eastAsia="Times New Roman"/>
          <w:shd w:val="clear" w:color="auto" w:fill="FFFFFF"/>
        </w:rPr>
        <w:t xml:space="preserve">C. </w:t>
      </w:r>
      <w:r>
        <w:rPr>
          <w:rFonts w:eastAsia="Times New Roman"/>
          <w:shd w:val="clear" w:color="auto" w:fill="FFFFFF"/>
        </w:rPr>
        <w:tab/>
      </w:r>
      <w:r w:rsidR="00924635" w:rsidRPr="00EC79E0">
        <w:rPr>
          <w:rFonts w:eastAsia="Times New Roman"/>
          <w:shd w:val="clear" w:color="auto" w:fill="FFFFFF"/>
        </w:rPr>
        <w:t>Simultaneous Production of Standards to Address Coordination Challenges</w:t>
      </w:r>
      <w:bookmarkEnd w:id="32"/>
      <w:r w:rsidR="00924635" w:rsidRPr="00EC79E0">
        <w:rPr>
          <w:rFonts w:eastAsia="Times New Roman"/>
          <w:shd w:val="clear" w:color="auto" w:fill="FFFFFF"/>
        </w:rPr>
        <w:t> </w:t>
      </w:r>
    </w:p>
    <w:p w14:paraId="0F4BF3D0" w14:textId="77777777" w:rsidR="00924635" w:rsidRPr="00EC79E0" w:rsidRDefault="00924635" w:rsidP="00924635">
      <w:pPr>
        <w:spacing w:after="0" w:line="240" w:lineRule="auto"/>
        <w:rPr>
          <w:rFonts w:eastAsia="Times New Roman" w:cs="Times New Roman"/>
          <w:szCs w:val="24"/>
        </w:rPr>
      </w:pPr>
    </w:p>
    <w:p w14:paraId="6FD5285C" w14:textId="1D27FF3E"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shd w:val="clear" w:color="auto" w:fill="FFFFFF"/>
        </w:rPr>
        <w:t>Beyond facing regulatory uncertainty, emerging industries often present distinct coordination challenges. These challenges arise even if the industry is not exceedingly complex from a supply chain perspective. Take the example of a widget that has one ingredient and one end use. Producers and transporters of the ingredient; the widget manufacturer; and transporters, distributors, and end users of the widget still must emerge, somewhat simultaneously. The simultaneous development of these distinct industry components is itself a challenging proposition calling for some coordinating feature, be it an organized group of industry actors, a vertically-integrated firm, or government-led coordination through an economic development organization or similar entity.</w:t>
      </w:r>
      <w:bookmarkStart w:id="33" w:name="_Ref142244518"/>
      <w:r w:rsidR="00D3410F">
        <w:rPr>
          <w:rStyle w:val="FootnoteReference"/>
          <w:rFonts w:eastAsia="Times New Roman" w:cs="Times New Roman"/>
          <w:color w:val="000000"/>
          <w:szCs w:val="24"/>
          <w:shd w:val="clear" w:color="auto" w:fill="FFFFFF"/>
        </w:rPr>
        <w:footnoteReference w:id="95"/>
      </w:r>
      <w:bookmarkEnd w:id="33"/>
      <w:r w:rsidRPr="00EC79E0">
        <w:rPr>
          <w:rFonts w:eastAsia="Times New Roman" w:cs="Times New Roman"/>
          <w:color w:val="000000"/>
          <w:szCs w:val="24"/>
          <w:shd w:val="clear" w:color="auto" w:fill="FFFFFF"/>
        </w:rPr>
        <w:t xml:space="preserve"> But spurring separate and disparate governmental agencies with control over different parts of the supply chain to regulate at the same time</w:t>
      </w:r>
      <w:r w:rsidRPr="00EC79E0">
        <w:rPr>
          <w:rFonts w:eastAsia="Times New Roman" w:cs="Times New Roman"/>
          <w:color w:val="000000"/>
          <w:szCs w:val="24"/>
        </w:rPr>
        <w:t>—</w:t>
      </w:r>
      <w:r w:rsidRPr="00EC79E0">
        <w:rPr>
          <w:rFonts w:eastAsia="Times New Roman" w:cs="Times New Roman"/>
          <w:color w:val="000000"/>
          <w:szCs w:val="24"/>
          <w:shd w:val="clear" w:color="auto" w:fill="FFFFFF"/>
        </w:rPr>
        <w:t>either independently or in a coordinated fashion</w:t>
      </w:r>
      <w:r w:rsidRPr="00EC79E0">
        <w:rPr>
          <w:rFonts w:eastAsia="Times New Roman" w:cs="Times New Roman"/>
          <w:color w:val="000000"/>
          <w:szCs w:val="24"/>
        </w:rPr>
        <w:t>—</w:t>
      </w:r>
      <w:r w:rsidRPr="00EC79E0">
        <w:rPr>
          <w:rFonts w:eastAsia="Times New Roman" w:cs="Times New Roman"/>
          <w:color w:val="000000"/>
          <w:szCs w:val="24"/>
          <w:shd w:val="clear" w:color="auto" w:fill="FFFFFF"/>
        </w:rPr>
        <w:t>is similarly challenging. </w:t>
      </w:r>
    </w:p>
    <w:p w14:paraId="5F7A3B4B" w14:textId="77777777" w:rsidR="00924635" w:rsidRPr="00EC79E0" w:rsidRDefault="00924635" w:rsidP="00924635">
      <w:pPr>
        <w:spacing w:after="0" w:line="240" w:lineRule="auto"/>
        <w:rPr>
          <w:rFonts w:eastAsia="Times New Roman" w:cs="Times New Roman"/>
          <w:szCs w:val="24"/>
        </w:rPr>
      </w:pPr>
    </w:p>
    <w:p w14:paraId="6F419F69" w14:textId="23E49336"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shd w:val="clear" w:color="auto" w:fill="FFFFFF"/>
        </w:rPr>
        <w:t xml:space="preserve">Bottom-up self-regulation is the </w:t>
      </w:r>
      <w:proofErr w:type="gramStart"/>
      <w:r w:rsidRPr="00EC79E0">
        <w:rPr>
          <w:rFonts w:eastAsia="Times New Roman" w:cs="Times New Roman"/>
          <w:color w:val="000000"/>
          <w:szCs w:val="24"/>
          <w:shd w:val="clear" w:color="auto" w:fill="FFFFFF"/>
        </w:rPr>
        <w:t>more</w:t>
      </w:r>
      <w:proofErr w:type="gramEnd"/>
      <w:r w:rsidRPr="00EC79E0">
        <w:rPr>
          <w:rFonts w:eastAsia="Times New Roman" w:cs="Times New Roman"/>
          <w:color w:val="000000"/>
          <w:szCs w:val="24"/>
          <w:shd w:val="clear" w:color="auto" w:fill="FFFFFF"/>
        </w:rPr>
        <w:t xml:space="preserve"> likely approach to the development of coordinating standards in various components of an emerging industry. Larry Lessig describes a “coordinating standard” as “a rule that facilitates an activity that otherwise would not exist” and limits liberty simply to ensure that the activity can exist.</w:t>
      </w:r>
      <w:bookmarkStart w:id="34" w:name="_Ref142237925"/>
      <w:r w:rsidR="00D3410F">
        <w:rPr>
          <w:rStyle w:val="FootnoteReference"/>
          <w:rFonts w:eastAsia="Times New Roman" w:cs="Times New Roman"/>
          <w:color w:val="000000"/>
          <w:szCs w:val="24"/>
          <w:shd w:val="clear" w:color="auto" w:fill="FFFFFF"/>
        </w:rPr>
        <w:footnoteReference w:id="96"/>
      </w:r>
      <w:bookmarkEnd w:id="34"/>
      <w:r w:rsidRPr="00EC79E0">
        <w:rPr>
          <w:rFonts w:eastAsia="Times New Roman" w:cs="Times New Roman"/>
          <w:color w:val="000000"/>
          <w:szCs w:val="24"/>
          <w:shd w:val="clear" w:color="auto" w:fill="FFFFFF"/>
        </w:rPr>
        <w:t>  Lessig’s simple example of a coordinating standard is one that requires driving on the right-hand side of the road.</w:t>
      </w:r>
      <w:r w:rsidR="00D3410F">
        <w:rPr>
          <w:rStyle w:val="FootnoteReference"/>
          <w:rFonts w:eastAsia="Times New Roman" w:cs="Times New Roman"/>
          <w:color w:val="000000"/>
          <w:szCs w:val="24"/>
          <w:shd w:val="clear" w:color="auto" w:fill="FFFFFF"/>
        </w:rPr>
        <w:footnoteReference w:id="97"/>
      </w:r>
      <w:r w:rsidRPr="00EC79E0">
        <w:rPr>
          <w:rFonts w:eastAsia="Times New Roman" w:cs="Times New Roman"/>
          <w:color w:val="000000"/>
          <w:szCs w:val="24"/>
          <w:shd w:val="clear" w:color="auto" w:fill="FFFFFF"/>
        </w:rPr>
        <w:t xml:space="preserve"> Without an agreed-upon approach to driving, the many disparate vehicle drivers would have no reasonable way of sharing a road. Nascent or once-nascent industries such as hydrogen and the Internet create more complex examples, in which numerous standards must converge to allow vehicle users to locate hydrogen fueling stations with compatible fueling technologies, for example, or Internet users to connect to a network and understand the letters that identify a webpage. Lessig observes that coordinating standards can be top-down or bottom-up.</w:t>
      </w:r>
      <w:r w:rsidR="00D3410F">
        <w:rPr>
          <w:rStyle w:val="FootnoteReference"/>
          <w:rFonts w:eastAsia="Times New Roman" w:cs="Times New Roman"/>
          <w:color w:val="000000"/>
          <w:szCs w:val="24"/>
          <w:shd w:val="clear" w:color="auto" w:fill="FFFFFF"/>
        </w:rPr>
        <w:footnoteReference w:id="98"/>
      </w:r>
      <w:r w:rsidRPr="00EC79E0">
        <w:rPr>
          <w:rFonts w:eastAsia="Times New Roman" w:cs="Times New Roman"/>
          <w:color w:val="000000"/>
          <w:szCs w:val="24"/>
          <w:shd w:val="clear" w:color="auto" w:fill="FFFFFF"/>
        </w:rPr>
        <w:t xml:space="preserve"> With the Internet </w:t>
      </w:r>
      <w:r w:rsidRPr="00EC79E0">
        <w:rPr>
          <w:rFonts w:eastAsia="Times New Roman" w:cs="Times New Roman"/>
          <w:color w:val="000000"/>
          <w:szCs w:val="24"/>
          <w:shd w:val="clear" w:color="auto" w:fill="FFFFFF"/>
        </w:rPr>
        <w:lastRenderedPageBreak/>
        <w:t>and, so far with hydrogen, the standards have been very much a bottom-up effort, with industry leading the way toward coordination, albeit with government actors sometimes spurring or at least aiding such efforts.</w:t>
      </w:r>
      <w:r w:rsidR="00D3410F">
        <w:rPr>
          <w:rStyle w:val="FootnoteReference"/>
          <w:rFonts w:eastAsia="Times New Roman" w:cs="Times New Roman"/>
          <w:color w:val="000000"/>
          <w:szCs w:val="24"/>
          <w:shd w:val="clear" w:color="auto" w:fill="FFFFFF"/>
        </w:rPr>
        <w:footnoteReference w:id="99"/>
      </w:r>
      <w:r w:rsidRPr="00EC79E0">
        <w:rPr>
          <w:rFonts w:eastAsia="Times New Roman" w:cs="Times New Roman"/>
          <w:color w:val="000000"/>
          <w:szCs w:val="24"/>
          <w:shd w:val="clear" w:color="auto" w:fill="FFFFFF"/>
        </w:rPr>
        <w:t xml:space="preserve"> </w:t>
      </w:r>
    </w:p>
    <w:p w14:paraId="438D5FF4" w14:textId="77777777" w:rsidR="00924635" w:rsidRPr="00EC79E0" w:rsidRDefault="00924635" w:rsidP="00924635">
      <w:pPr>
        <w:spacing w:after="0" w:line="240" w:lineRule="auto"/>
        <w:rPr>
          <w:rFonts w:eastAsia="Times New Roman" w:cs="Times New Roman"/>
          <w:szCs w:val="24"/>
        </w:rPr>
      </w:pPr>
    </w:p>
    <w:p w14:paraId="21A6E132" w14:textId="763B666B"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shd w:val="clear" w:color="auto" w:fill="FFFFFF"/>
        </w:rPr>
        <w:t>This is not to say that governments always fail in coordinating regulation for emerging industries or economic trends. But comprehensive sets of rules that cover multiple components of an industry and enable the industry simply to exist in its essential networked form, from manufacturing to transportation and distribution, appear to be far more common in the private context. This is likely because industry associations that cover multiple facets of the supply chain</w:t>
      </w:r>
      <w:r w:rsidRPr="00EC79E0">
        <w:rPr>
          <w:rFonts w:eastAsia="Times New Roman" w:cs="Times New Roman"/>
          <w:color w:val="000000"/>
          <w:szCs w:val="24"/>
        </w:rPr>
        <w:t>—</w:t>
      </w:r>
      <w:r w:rsidRPr="00EC79E0">
        <w:rPr>
          <w:rFonts w:eastAsia="Times New Roman" w:cs="Times New Roman"/>
          <w:color w:val="000000"/>
          <w:szCs w:val="24"/>
          <w:shd w:val="clear" w:color="auto" w:fill="FFFFFF"/>
        </w:rPr>
        <w:t>or even disparate associations</w:t>
      </w:r>
      <w:r w:rsidRPr="00EC79E0">
        <w:rPr>
          <w:rFonts w:eastAsia="Times New Roman" w:cs="Times New Roman"/>
          <w:color w:val="000000"/>
          <w:szCs w:val="24"/>
        </w:rPr>
        <w:t>—</w:t>
      </w:r>
      <w:r w:rsidRPr="00EC79E0">
        <w:rPr>
          <w:rFonts w:eastAsia="Times New Roman" w:cs="Times New Roman"/>
          <w:color w:val="000000"/>
          <w:szCs w:val="24"/>
          <w:shd w:val="clear" w:color="auto" w:fill="FFFFFF"/>
        </w:rPr>
        <w:t>have strong incentives to coordinate to write a comprehensive set of standards, as occurred in the context of oil and gas and its extensive set of API standards.</w:t>
      </w:r>
      <w:r w:rsidR="00EE02FF">
        <w:rPr>
          <w:rStyle w:val="FootnoteReference"/>
          <w:rFonts w:eastAsia="Times New Roman" w:cs="Times New Roman"/>
          <w:color w:val="000000"/>
          <w:szCs w:val="24"/>
          <w:shd w:val="clear" w:color="auto" w:fill="FFFFFF"/>
        </w:rPr>
        <w:footnoteReference w:id="100"/>
      </w:r>
      <w:r w:rsidRPr="00EC79E0">
        <w:rPr>
          <w:rFonts w:eastAsia="Times New Roman" w:cs="Times New Roman"/>
          <w:color w:val="000000"/>
          <w:szCs w:val="24"/>
          <w:shd w:val="clear" w:color="auto" w:fill="FFFFFF"/>
        </w:rPr>
        <w:t xml:space="preserve"> Alternatively, industry may work with an independent SSO </w:t>
      </w:r>
      <w:r w:rsidR="003A7EA2">
        <w:rPr>
          <w:rFonts w:eastAsia="Times New Roman" w:cs="Times New Roman"/>
          <w:color w:val="000000"/>
          <w:szCs w:val="24"/>
          <w:shd w:val="clear" w:color="auto" w:fill="FFFFFF"/>
        </w:rPr>
        <w:t>to gain</w:t>
      </w:r>
      <w:r w:rsidR="003A7EA2" w:rsidRPr="00EC79E0">
        <w:rPr>
          <w:rFonts w:eastAsia="Times New Roman" w:cs="Times New Roman"/>
          <w:color w:val="000000"/>
          <w:szCs w:val="24"/>
          <w:shd w:val="clear" w:color="auto" w:fill="FFFFFF"/>
        </w:rPr>
        <w:t xml:space="preserve"> </w:t>
      </w:r>
      <w:r w:rsidRPr="00EC79E0">
        <w:rPr>
          <w:rFonts w:eastAsia="Times New Roman" w:cs="Times New Roman"/>
          <w:color w:val="000000"/>
          <w:szCs w:val="24"/>
          <w:shd w:val="clear" w:color="auto" w:fill="FFFFFF"/>
        </w:rPr>
        <w:t>a bird’s eye view, as has occurred for cannabis and ASTM International</w:t>
      </w:r>
      <w:r w:rsidR="00EE02FF">
        <w:rPr>
          <w:rStyle w:val="FootnoteReference"/>
          <w:rFonts w:eastAsia="Times New Roman" w:cs="Times New Roman"/>
          <w:color w:val="000000"/>
          <w:szCs w:val="24"/>
          <w:shd w:val="clear" w:color="auto" w:fill="FFFFFF"/>
        </w:rPr>
        <w:footnoteReference w:id="101"/>
      </w:r>
      <w:r w:rsidRPr="00EC79E0">
        <w:rPr>
          <w:rFonts w:eastAsia="Times New Roman" w:cs="Times New Roman"/>
          <w:color w:val="000000"/>
          <w:szCs w:val="24"/>
          <w:shd w:val="clear" w:color="auto" w:fill="FFFFFF"/>
        </w:rPr>
        <w:t xml:space="preserve"> and appears to be the case for hydrogen so far. </w:t>
      </w:r>
    </w:p>
    <w:p w14:paraId="1A19EE91" w14:textId="77777777" w:rsidR="00924635" w:rsidRPr="00EC79E0" w:rsidRDefault="00924635" w:rsidP="00924635">
      <w:pPr>
        <w:spacing w:after="0" w:line="240" w:lineRule="auto"/>
        <w:rPr>
          <w:rFonts w:eastAsia="Times New Roman" w:cs="Times New Roman"/>
          <w:szCs w:val="24"/>
        </w:rPr>
      </w:pPr>
    </w:p>
    <w:p w14:paraId="6FE1FB60" w14:textId="0A62026B"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shd w:val="clear" w:color="auto" w:fill="FFFFFF"/>
        </w:rPr>
        <w:t xml:space="preserve">Industries with interconnected or networked </w:t>
      </w:r>
      <w:r w:rsidRPr="00EC79E0">
        <w:rPr>
          <w:rFonts w:eastAsia="Times New Roman" w:cs="Times New Roman"/>
          <w:i/>
          <w:iCs/>
          <w:color w:val="000000"/>
          <w:szCs w:val="24"/>
          <w:shd w:val="clear" w:color="auto" w:fill="FFFFFF"/>
        </w:rPr>
        <w:t>risks</w:t>
      </w:r>
      <w:r w:rsidRPr="00EC79E0">
        <w:rPr>
          <w:rFonts w:eastAsia="Times New Roman" w:cs="Times New Roman"/>
          <w:color w:val="000000"/>
          <w:szCs w:val="24"/>
          <w:shd w:val="clear" w:color="auto" w:fill="FFFFFF"/>
        </w:rPr>
        <w:t xml:space="preserve"> seem particularly motivated to coordinate in the standard-setting context, as evidenced by the electricity industry. The North American Electric Reliability Council (NERC—now the North American Electric Reliability Corporation) is composed of electric utility members, and these members formed NERC in the 1960s to address the cascading risks that permeate the electrical system.</w:t>
      </w:r>
      <w:r w:rsidR="002C1E55">
        <w:rPr>
          <w:rStyle w:val="FootnoteReference"/>
          <w:rFonts w:eastAsia="Times New Roman" w:cs="Times New Roman"/>
          <w:color w:val="000000"/>
          <w:szCs w:val="24"/>
          <w:shd w:val="clear" w:color="auto" w:fill="FFFFFF"/>
        </w:rPr>
        <w:footnoteReference w:id="102"/>
      </w:r>
      <w:r w:rsidRPr="00EC79E0">
        <w:rPr>
          <w:rFonts w:eastAsia="Times New Roman" w:cs="Times New Roman"/>
          <w:color w:val="000000"/>
          <w:szCs w:val="24"/>
          <w:shd w:val="clear" w:color="auto" w:fill="FFFFFF"/>
        </w:rPr>
        <w:t xml:space="preserve"> The electric grid</w:t>
      </w:r>
      <w:r w:rsidRPr="00EC79E0">
        <w:rPr>
          <w:rFonts w:eastAsia="Times New Roman" w:cs="Times New Roman"/>
          <w:color w:val="000000"/>
          <w:szCs w:val="24"/>
        </w:rPr>
        <w:t>—</w:t>
      </w:r>
      <w:r w:rsidRPr="00EC79E0">
        <w:rPr>
          <w:rFonts w:eastAsia="Times New Roman" w:cs="Times New Roman"/>
          <w:color w:val="000000"/>
          <w:szCs w:val="24"/>
          <w:shd w:val="clear" w:color="auto" w:fill="FFFFFF"/>
        </w:rPr>
        <w:t>generation, transmission, and distribution</w:t>
      </w:r>
      <w:r w:rsidRPr="00EC79E0">
        <w:rPr>
          <w:rFonts w:eastAsia="Times New Roman" w:cs="Times New Roman"/>
          <w:color w:val="000000"/>
          <w:szCs w:val="24"/>
        </w:rPr>
        <w:t>—</w:t>
      </w:r>
      <w:r w:rsidRPr="00EC79E0">
        <w:rPr>
          <w:rFonts w:eastAsia="Times New Roman" w:cs="Times New Roman"/>
          <w:color w:val="000000"/>
          <w:szCs w:val="24"/>
          <w:shd w:val="clear" w:color="auto" w:fill="FFFFFF"/>
        </w:rPr>
        <w:t>is tightly interconnected, and electricity supply depends on a delicately-balanced flow of electricity through wires at all times; any instability at any physical point in this vast interconnected network can accordingly cause large regions to lose power for days at a time, leading to billions of dollars in economic loss. NERC subsequently developed a relatively comprehensive set of standards for the reliability of all grid-connected infrastructure, from transmission lines and substations to power plants and distribution wires, which endured for decades without public oversight.</w:t>
      </w:r>
      <w:r w:rsidR="009B5182">
        <w:rPr>
          <w:rStyle w:val="FootnoteReference"/>
          <w:rFonts w:eastAsia="Times New Roman" w:cs="Times New Roman"/>
          <w:color w:val="000000"/>
          <w:szCs w:val="24"/>
          <w:shd w:val="clear" w:color="auto" w:fill="FFFFFF"/>
        </w:rPr>
        <w:footnoteReference w:id="103"/>
      </w:r>
      <w:r w:rsidRPr="00EC79E0">
        <w:rPr>
          <w:rFonts w:eastAsia="Times New Roman" w:cs="Times New Roman"/>
          <w:color w:val="000000"/>
          <w:szCs w:val="24"/>
          <w:shd w:val="clear" w:color="auto" w:fill="FFFFFF"/>
        </w:rPr>
        <w:t> </w:t>
      </w:r>
    </w:p>
    <w:p w14:paraId="4B7595C0" w14:textId="77777777" w:rsidR="00924635" w:rsidRPr="00EC79E0" w:rsidRDefault="00924635" w:rsidP="00924635">
      <w:pPr>
        <w:spacing w:after="0" w:line="240" w:lineRule="auto"/>
        <w:rPr>
          <w:rFonts w:eastAsia="Times New Roman" w:cs="Times New Roman"/>
          <w:szCs w:val="24"/>
        </w:rPr>
      </w:pPr>
    </w:p>
    <w:p w14:paraId="78FEB499" w14:textId="6D03742C"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shd w:val="clear" w:color="auto" w:fill="FFFFFF"/>
        </w:rPr>
        <w:t xml:space="preserve">Self-regulation alone, however, might not achieve the degree of standards coordination necessary for a complex supply chain in need of innovation within all links that form the chain. Here, governments, play an </w:t>
      </w:r>
      <w:r w:rsidRPr="00EC79E0">
        <w:rPr>
          <w:rFonts w:eastAsia="Times New Roman" w:cs="Times New Roman"/>
          <w:color w:val="000000"/>
          <w:szCs w:val="24"/>
          <w:shd w:val="clear" w:color="auto" w:fill="FFFFFF"/>
        </w:rPr>
        <w:lastRenderedPageBreak/>
        <w:t>important, top-down complementary role in producing or encouraging the formation of comprehensive, more coordinated standards (public or private or both) that address the many facets of an emerging industry–particularly when they view this industry as critical to public goals. As we discuss in Part III, the Department of Energy (DOE) is following this path in the hydrogen context, with an explicit mission of “coordinating and accelerating the efforts of major standards and model code development organizations and regulatory agencies so the required standards, codes, and regulations for hydrogen technologies can be prepared and adopted to facilitate commercial applications of these technologies in a timely manner</w:t>
      </w:r>
      <w:r w:rsidR="002E6CEB">
        <w:rPr>
          <w:rFonts w:eastAsia="Times New Roman" w:cs="Times New Roman"/>
          <w:color w:val="000000"/>
          <w:szCs w:val="24"/>
          <w:shd w:val="clear" w:color="auto" w:fill="FFFFFF"/>
        </w:rPr>
        <w:t>.</w:t>
      </w:r>
      <w:r w:rsidRPr="00EC79E0">
        <w:rPr>
          <w:rFonts w:eastAsia="Times New Roman" w:cs="Times New Roman"/>
          <w:color w:val="000000"/>
          <w:szCs w:val="24"/>
          <w:shd w:val="clear" w:color="auto" w:fill="FFFFFF"/>
        </w:rPr>
        <w:t>”</w:t>
      </w:r>
      <w:bookmarkStart w:id="36" w:name="_Ref142253066"/>
      <w:r w:rsidR="002E6CEB">
        <w:rPr>
          <w:rStyle w:val="FootnoteReference"/>
          <w:rFonts w:eastAsia="Times New Roman" w:cs="Times New Roman"/>
          <w:color w:val="000000"/>
          <w:szCs w:val="24"/>
          <w:shd w:val="clear" w:color="auto" w:fill="FFFFFF"/>
        </w:rPr>
        <w:footnoteReference w:id="104"/>
      </w:r>
      <w:bookmarkEnd w:id="36"/>
      <w:r w:rsidRPr="00EC79E0">
        <w:rPr>
          <w:rFonts w:eastAsia="Times New Roman" w:cs="Times New Roman"/>
          <w:color w:val="000000"/>
          <w:szCs w:val="24"/>
          <w:shd w:val="clear" w:color="auto" w:fill="FFFFFF"/>
        </w:rPr>
        <w:t xml:space="preserve"> </w:t>
      </w:r>
    </w:p>
    <w:p w14:paraId="5E634738" w14:textId="77777777" w:rsidR="00924635" w:rsidRPr="00EC79E0" w:rsidRDefault="00924635" w:rsidP="00924635">
      <w:pPr>
        <w:spacing w:after="0" w:line="240" w:lineRule="auto"/>
        <w:rPr>
          <w:rFonts w:eastAsia="Times New Roman" w:cs="Times New Roman"/>
          <w:szCs w:val="24"/>
        </w:rPr>
      </w:pPr>
    </w:p>
    <w:p w14:paraId="21B01014" w14:textId="388CA9C1"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shd w:val="clear" w:color="auto" w:fill="FFFFFF"/>
        </w:rPr>
        <w:t>Beyond spurring the development of coordinated standards (public or private or both), governments often work to clarify and educate new industrial players on the existing and emerging standards that apply to them, thus attempting to ease regulatory burden and hasten the development of the industry.  In the context of the U.S. hydraulic fracturing boom, some states took both of these approaches, promulgating relatively comprehensive regulatory changes and regulatory menus that clarified the suite of regulations that applied to drilling and hydraulic fracturing.</w:t>
      </w:r>
      <w:r w:rsidR="002E6CEB">
        <w:rPr>
          <w:rStyle w:val="FootnoteReference"/>
          <w:rFonts w:eastAsia="Times New Roman" w:cs="Times New Roman"/>
          <w:color w:val="000000"/>
          <w:szCs w:val="24"/>
          <w:shd w:val="clear" w:color="auto" w:fill="FFFFFF"/>
        </w:rPr>
        <w:footnoteReference w:id="105"/>
      </w:r>
      <w:r w:rsidRPr="00EC79E0">
        <w:rPr>
          <w:rFonts w:eastAsia="Times New Roman" w:cs="Times New Roman"/>
          <w:color w:val="000000"/>
          <w:szCs w:val="24"/>
          <w:shd w:val="clear" w:color="auto" w:fill="FFFFFF"/>
        </w:rPr>
        <w:t xml:space="preserve"> This was due to a combination of citizen concerns about adequate compliance with regulation, the fact that many industrial actors were rushing in from other states and were unfamiliar with state-specific rules, and the desire of some states to encourage economically beneficial oil and gas development by clarifying the rules. </w:t>
      </w:r>
      <w:r w:rsidR="00C45E41">
        <w:rPr>
          <w:rFonts w:eastAsia="Times New Roman" w:cs="Times New Roman"/>
          <w:color w:val="000000"/>
          <w:szCs w:val="24"/>
          <w:shd w:val="clear" w:color="auto" w:fill="FFFFFF"/>
        </w:rPr>
        <w:t xml:space="preserve">In the hydrogen context, as discussed in Part III, the federal government has </w:t>
      </w:r>
      <w:r w:rsidR="00C45E41" w:rsidRPr="00EC79E0">
        <w:rPr>
          <w:rFonts w:eastAsia="Times New Roman" w:cs="Times New Roman"/>
          <w:color w:val="000000"/>
          <w:szCs w:val="24"/>
          <w:shd w:val="clear" w:color="auto" w:fill="FFFFFF"/>
        </w:rPr>
        <w:t>create</w:t>
      </w:r>
      <w:r w:rsidR="00C45E41">
        <w:rPr>
          <w:rFonts w:eastAsia="Times New Roman" w:cs="Times New Roman"/>
          <w:color w:val="000000"/>
          <w:szCs w:val="24"/>
          <w:shd w:val="clear" w:color="auto" w:fill="FFFFFF"/>
        </w:rPr>
        <w:t>d</w:t>
      </w:r>
      <w:r w:rsidR="00C45E41" w:rsidRPr="00EC79E0">
        <w:rPr>
          <w:rFonts w:eastAsia="Times New Roman" w:cs="Times New Roman"/>
          <w:color w:val="000000"/>
          <w:szCs w:val="24"/>
          <w:shd w:val="clear" w:color="auto" w:fill="FFFFFF"/>
        </w:rPr>
        <w:t xml:space="preserve"> permitting checklists and guidance for industry participants while supporting efforts to fill in standards-based gaps. </w:t>
      </w:r>
    </w:p>
    <w:p w14:paraId="7A6595D8" w14:textId="77777777" w:rsidR="00924635" w:rsidRPr="00EC79E0" w:rsidRDefault="00924635" w:rsidP="00924635">
      <w:pPr>
        <w:spacing w:after="0" w:line="240" w:lineRule="auto"/>
        <w:rPr>
          <w:rFonts w:eastAsia="Times New Roman" w:cs="Times New Roman"/>
          <w:szCs w:val="24"/>
        </w:rPr>
      </w:pPr>
    </w:p>
    <w:p w14:paraId="263283B8" w14:textId="1ED5F9D5" w:rsidR="00924635" w:rsidRDefault="00924635" w:rsidP="00924635">
      <w:pPr>
        <w:spacing w:after="0" w:line="240" w:lineRule="auto"/>
        <w:ind w:firstLine="720"/>
        <w:jc w:val="both"/>
        <w:rPr>
          <w:rFonts w:eastAsia="Times New Roman" w:cs="Times New Roman"/>
          <w:color w:val="000000"/>
          <w:szCs w:val="24"/>
          <w:shd w:val="clear" w:color="auto" w:fill="FFFFFF"/>
        </w:rPr>
      </w:pPr>
      <w:r w:rsidRPr="00EC79E0">
        <w:rPr>
          <w:rFonts w:eastAsia="Times New Roman" w:cs="Times New Roman"/>
          <w:color w:val="000000"/>
          <w:szCs w:val="24"/>
          <w:shd w:val="clear" w:color="auto" w:fill="FFFFFF"/>
        </w:rPr>
        <w:t xml:space="preserve">Finally, some governments are so motivated to spur industrial transition that they also take measures to implement and ensure </w:t>
      </w:r>
      <w:r w:rsidRPr="00EC79E0">
        <w:rPr>
          <w:rFonts w:eastAsia="Times New Roman" w:cs="Times New Roman"/>
          <w:i/>
          <w:iCs/>
          <w:color w:val="000000"/>
          <w:szCs w:val="24"/>
          <w:shd w:val="clear" w:color="auto" w:fill="FFFFFF"/>
        </w:rPr>
        <w:t>compliance</w:t>
      </w:r>
      <w:r w:rsidRPr="00EC79E0">
        <w:rPr>
          <w:rFonts w:eastAsia="Times New Roman" w:cs="Times New Roman"/>
          <w:color w:val="000000"/>
          <w:szCs w:val="24"/>
          <w:shd w:val="clear" w:color="auto" w:fill="FFFFFF"/>
        </w:rPr>
        <w:t xml:space="preserve"> with the private or public regulations, or both, on behalf of industry—bringing governmental assistance with coordination of standards to the highest level. This is </w:t>
      </w:r>
      <w:r w:rsidR="009E636E">
        <w:rPr>
          <w:rFonts w:eastAsia="Times New Roman" w:cs="Times New Roman"/>
          <w:color w:val="000000"/>
          <w:szCs w:val="24"/>
          <w:shd w:val="clear" w:color="auto" w:fill="FFFFFF"/>
        </w:rPr>
        <w:t xml:space="preserve">one form of </w:t>
      </w:r>
      <w:r w:rsidRPr="00EC79E0">
        <w:rPr>
          <w:rFonts w:eastAsia="Times New Roman" w:cs="Times New Roman"/>
          <w:color w:val="000000"/>
          <w:szCs w:val="24"/>
          <w:shd w:val="clear" w:color="auto" w:fill="FFFFFF"/>
        </w:rPr>
        <w:t>what Coglianese &amp; Mendelson call “meta-regulation</w:t>
      </w:r>
      <w:r w:rsidR="003A7EA2">
        <w:rPr>
          <w:rFonts w:eastAsia="Times New Roman" w:cs="Times New Roman"/>
          <w:color w:val="000000"/>
          <w:szCs w:val="24"/>
          <w:shd w:val="clear" w:color="auto" w:fill="FFFFFF"/>
        </w:rPr>
        <w:t>.</w:t>
      </w:r>
      <w:r w:rsidRPr="00EC79E0">
        <w:rPr>
          <w:rFonts w:eastAsia="Times New Roman" w:cs="Times New Roman"/>
          <w:color w:val="000000"/>
          <w:szCs w:val="24"/>
          <w:shd w:val="clear" w:color="auto" w:fill="FFFFFF"/>
        </w:rPr>
        <w:t>”</w:t>
      </w:r>
      <w:r w:rsidR="002E6CEB">
        <w:rPr>
          <w:rStyle w:val="FootnoteReference"/>
          <w:rFonts w:eastAsia="Times New Roman" w:cs="Times New Roman"/>
          <w:color w:val="000000"/>
          <w:szCs w:val="24"/>
          <w:shd w:val="clear" w:color="auto" w:fill="FFFFFF"/>
        </w:rPr>
        <w:footnoteReference w:id="106"/>
      </w:r>
      <w:r w:rsidRPr="00EC79E0">
        <w:rPr>
          <w:rFonts w:eastAsia="Times New Roman" w:cs="Times New Roman"/>
          <w:color w:val="000000"/>
          <w:szCs w:val="24"/>
          <w:shd w:val="clear" w:color="auto" w:fill="FFFFFF"/>
        </w:rPr>
        <w:t xml:space="preserve"> </w:t>
      </w:r>
    </w:p>
    <w:p w14:paraId="57B90B23" w14:textId="5816C716" w:rsidR="005D17B2" w:rsidRPr="00403D85" w:rsidRDefault="005D17B2" w:rsidP="00403D85">
      <w:pPr>
        <w:spacing w:after="0" w:line="240" w:lineRule="auto"/>
        <w:jc w:val="center"/>
        <w:rPr>
          <w:rFonts w:eastAsia="Times New Roman" w:cs="Times New Roman"/>
          <w:szCs w:val="24"/>
        </w:rPr>
      </w:pPr>
      <w:r>
        <w:rPr>
          <w:rFonts w:eastAsia="Times New Roman" w:cs="Times New Roman"/>
          <w:szCs w:val="24"/>
        </w:rPr>
        <w:t>***</w:t>
      </w:r>
    </w:p>
    <w:p w14:paraId="7AF3F43F" w14:textId="77777777" w:rsidR="00924635" w:rsidRPr="00EC79E0" w:rsidRDefault="00924635" w:rsidP="00924635">
      <w:pPr>
        <w:spacing w:after="0" w:line="240" w:lineRule="auto"/>
        <w:rPr>
          <w:rFonts w:eastAsia="Times New Roman" w:cs="Times New Roman"/>
          <w:szCs w:val="24"/>
        </w:rPr>
      </w:pPr>
    </w:p>
    <w:p w14:paraId="7BEDFCE2"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In summary, self-regulation seems particularly well poised to address some of the critical challenges faced by emerging industries that are technically complex and face steep coordination challenges. Self-regulation, perhaps even more so than public standards, can produce effective, responsive standards through regulatory competition. Self-regulation can provide certainty in the face of regulatory gaps yet needed flexibility through periodic updating as an emerging industry learns of new or different risks.  And although governments can continue to play an important role in coordinating public and private standards as they emerge, industry is even more motivated to play this part and is perhaps more likely to be centrally engaged in organizing and integrating the standards that address numerous components of a complicated supply chain. Self-regulation, in other words, can be a key enabling component of a nascent industry’s efforts to grapple with coordination problems. </w:t>
      </w:r>
    </w:p>
    <w:p w14:paraId="740B6ECC" w14:textId="77777777" w:rsidR="00924635" w:rsidRPr="00EC79E0" w:rsidRDefault="00924635" w:rsidP="00924635">
      <w:pPr>
        <w:spacing w:after="0" w:line="240" w:lineRule="auto"/>
        <w:rPr>
          <w:rFonts w:eastAsia="Times New Roman" w:cs="Times New Roman"/>
          <w:szCs w:val="24"/>
        </w:rPr>
      </w:pPr>
    </w:p>
    <w:p w14:paraId="75A67C52" w14:textId="1B197D1F"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 xml:space="preserve">Despite these benefits, there are important limitations to self-regulation that are important to note in the context of emerging industries. Extensive reliance on self-regulation without adequate attention to self-regulatory </w:t>
      </w:r>
      <w:proofErr w:type="spellStart"/>
      <w:r w:rsidRPr="00EC79E0">
        <w:rPr>
          <w:rFonts w:eastAsia="Times New Roman" w:cs="Times New Roman"/>
          <w:color w:val="000000"/>
          <w:szCs w:val="24"/>
        </w:rPr>
        <w:t>decisionmaking</w:t>
      </w:r>
      <w:proofErr w:type="spellEnd"/>
      <w:r w:rsidRPr="00EC79E0">
        <w:rPr>
          <w:rFonts w:eastAsia="Times New Roman" w:cs="Times New Roman"/>
          <w:color w:val="000000"/>
          <w:szCs w:val="24"/>
        </w:rPr>
        <w:t xml:space="preserve"> structures can give individual firms too much power in the process—thus risking problems of capture and regulation that insufficiently protects public welfare</w:t>
      </w:r>
      <w:r w:rsidR="005D17B2">
        <w:rPr>
          <w:rFonts w:eastAsia="Times New Roman" w:cs="Times New Roman"/>
          <w:color w:val="000000"/>
          <w:szCs w:val="24"/>
        </w:rPr>
        <w:t>,</w:t>
      </w:r>
      <w:r w:rsidRPr="00EC79E0">
        <w:rPr>
          <w:rFonts w:eastAsia="Times New Roman" w:cs="Times New Roman"/>
          <w:color w:val="000000"/>
          <w:szCs w:val="24"/>
        </w:rPr>
        <w:t xml:space="preserve"> and perhaps</w:t>
      </w:r>
      <w:r w:rsidR="005D17B2">
        <w:rPr>
          <w:rFonts w:eastAsia="Times New Roman" w:cs="Times New Roman"/>
          <w:color w:val="000000"/>
          <w:szCs w:val="24"/>
        </w:rPr>
        <w:t xml:space="preserve"> that</w:t>
      </w:r>
      <w:r w:rsidRPr="00EC79E0">
        <w:rPr>
          <w:rFonts w:eastAsia="Times New Roman" w:cs="Times New Roman"/>
          <w:color w:val="000000"/>
          <w:szCs w:val="24"/>
        </w:rPr>
        <w:t xml:space="preserve"> delivers inefficient rents to the most powerful players.</w:t>
      </w:r>
      <w:r w:rsidR="00F61D82">
        <w:rPr>
          <w:rStyle w:val="FootnoteReference"/>
          <w:rFonts w:eastAsia="Times New Roman" w:cs="Times New Roman"/>
          <w:color w:val="000000"/>
          <w:szCs w:val="24"/>
        </w:rPr>
        <w:footnoteReference w:id="107"/>
      </w:r>
      <w:r w:rsidRPr="00EC79E0">
        <w:rPr>
          <w:rFonts w:eastAsia="Times New Roman" w:cs="Times New Roman"/>
          <w:color w:val="000000"/>
          <w:szCs w:val="24"/>
        </w:rPr>
        <w:t xml:space="preserve"> This could be particularly problematic during the early stages of an industry, when even those most familiar with the risks still have much to learn about safe design and deployment of technologies. A classic example of inefficient technological lock-in is the QWERTY configuration of most keyboards, which, according to some accounts, was adopted because of the preferences of a now obsolete profession of telegraph operators–we are still beholden to their preferences to this day.</w:t>
      </w:r>
      <w:r w:rsidR="00F61D82">
        <w:rPr>
          <w:rStyle w:val="FootnoteReference"/>
          <w:rFonts w:eastAsia="Times New Roman" w:cs="Times New Roman"/>
          <w:color w:val="000000"/>
          <w:szCs w:val="24"/>
        </w:rPr>
        <w:footnoteReference w:id="108"/>
      </w:r>
      <w:r w:rsidRPr="00EC79E0">
        <w:rPr>
          <w:rFonts w:eastAsia="Times New Roman" w:cs="Times New Roman"/>
          <w:color w:val="000000"/>
          <w:szCs w:val="24"/>
        </w:rPr>
        <w:t xml:space="preserve"> Furthermore, even well-intentioned, highly-informed industry actors can have blind spots to important regulatory areas—areas that might be better detected by more neutral government actors with a bird’s-eye view. Yet self-regulation, complemented by public governance and well-designed SSO standards development processes, seems to hold great promise for emerging industries such as hydrogen. </w:t>
      </w:r>
    </w:p>
    <w:p w14:paraId="0EFC4B81" w14:textId="77777777" w:rsidR="00924635" w:rsidRPr="00EC79E0" w:rsidRDefault="00924635" w:rsidP="00924635">
      <w:pPr>
        <w:spacing w:after="0" w:line="240" w:lineRule="auto"/>
        <w:rPr>
          <w:rFonts w:eastAsia="Times New Roman" w:cs="Times New Roman"/>
          <w:szCs w:val="24"/>
        </w:rPr>
      </w:pPr>
    </w:p>
    <w:p w14:paraId="7FE9551F" w14:textId="73783389"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xml:space="preserve">This discussion gives short shrift to the many other factors supporting innovation, in part due to space limitations yet also in part purposefully. The innovation literature extensively explores the role of intellectual property, traditional property rights, regulatory exemptions, and, more recently, the </w:t>
      </w:r>
      <w:r w:rsidRPr="00EC79E0">
        <w:rPr>
          <w:rFonts w:eastAsia="Times New Roman" w:cs="Times New Roman"/>
          <w:color w:val="000000"/>
          <w:szCs w:val="24"/>
        </w:rPr>
        <w:lastRenderedPageBreak/>
        <w:t>role of commons and peer production in the emergence of an industry.</w:t>
      </w:r>
      <w:r w:rsidR="00F61D82">
        <w:rPr>
          <w:rStyle w:val="FootnoteReference"/>
          <w:rFonts w:eastAsia="Times New Roman" w:cs="Times New Roman"/>
          <w:color w:val="000000"/>
          <w:szCs w:val="24"/>
        </w:rPr>
        <w:footnoteReference w:id="109"/>
      </w:r>
      <w:r w:rsidRPr="00EC79E0">
        <w:rPr>
          <w:rFonts w:eastAsia="Times New Roman" w:cs="Times New Roman"/>
          <w:color w:val="000000"/>
          <w:szCs w:val="24"/>
        </w:rPr>
        <w:t xml:space="preserve"> But it says too little about self-regulation as a potential driver of innovation.</w:t>
      </w:r>
    </w:p>
    <w:p w14:paraId="35738E7B" w14:textId="77777777" w:rsidR="00924635" w:rsidRPr="00EC79E0" w:rsidRDefault="00924635" w:rsidP="00924635">
      <w:pPr>
        <w:spacing w:after="0" w:line="240" w:lineRule="auto"/>
        <w:rPr>
          <w:rFonts w:eastAsia="Times New Roman" w:cs="Times New Roman"/>
          <w:szCs w:val="24"/>
        </w:rPr>
      </w:pPr>
    </w:p>
    <w:p w14:paraId="2D2DE737"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 </w:t>
      </w:r>
    </w:p>
    <w:p w14:paraId="550BFD59" w14:textId="2E19349F" w:rsidR="00924635" w:rsidRPr="00EC79E0" w:rsidRDefault="00924635" w:rsidP="00523783">
      <w:pPr>
        <w:pStyle w:val="Heading2"/>
        <w:numPr>
          <w:ilvl w:val="0"/>
          <w:numId w:val="27"/>
        </w:numPr>
        <w:rPr>
          <w:rFonts w:eastAsia="Times New Roman"/>
        </w:rPr>
      </w:pPr>
      <w:bookmarkStart w:id="37" w:name="_Toc141791877"/>
      <w:r w:rsidRPr="00EC79E0">
        <w:rPr>
          <w:rFonts w:eastAsia="Times New Roman"/>
        </w:rPr>
        <w:t>Self-Regulation of Nascent Networked Industries and Services</w:t>
      </w:r>
      <w:bookmarkEnd w:id="37"/>
      <w:r w:rsidRPr="00EC79E0">
        <w:rPr>
          <w:rFonts w:eastAsia="Times New Roman"/>
        </w:rPr>
        <w:t> </w:t>
      </w:r>
    </w:p>
    <w:p w14:paraId="48032D67" w14:textId="77777777" w:rsidR="00924635" w:rsidRPr="00EC79E0" w:rsidRDefault="00924635" w:rsidP="00924635">
      <w:pPr>
        <w:spacing w:after="0" w:line="240" w:lineRule="auto"/>
        <w:rPr>
          <w:rFonts w:eastAsia="Times New Roman" w:cs="Times New Roman"/>
          <w:szCs w:val="24"/>
        </w:rPr>
      </w:pPr>
    </w:p>
    <w:p w14:paraId="3CF19BBD"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The theory that self-regulation can help to spur and support the growth of an emerging industry, as suggested in Part II, is best tested by examining how self-regulation plays out on the ground in emerging industries. </w:t>
      </w:r>
    </w:p>
    <w:p w14:paraId="1BF07AE7" w14:textId="11057AB7"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xml:space="preserve">This Part takes up that task, assessing the role of self-regulatory standards in </w:t>
      </w:r>
      <w:r w:rsidR="00381BDD">
        <w:rPr>
          <w:rFonts w:eastAsia="Times New Roman" w:cs="Times New Roman"/>
          <w:color w:val="000000"/>
          <w:szCs w:val="24"/>
        </w:rPr>
        <w:t>emerging economies—particularly networked ones—</w:t>
      </w:r>
      <w:r w:rsidRPr="00EC79E0">
        <w:rPr>
          <w:rFonts w:eastAsia="Times New Roman" w:cs="Times New Roman"/>
          <w:color w:val="000000"/>
          <w:szCs w:val="24"/>
        </w:rPr>
        <w:t>and the degree to which this case study accords with the theory in Part II. It begins by analyzing how self-regulation in the hydrogen context largely parallels the historic emergence of industries and associated standards. This Part then examines the first, failed attempt to jump start a hydrogen economy in California—a story that suggests the importance of standards in the successful development of a nascent industry. Additionally, it examines the experience with self-regulation so far in the more recent, global effort to spur a hydrogen economy, highlighting some important successes and some challenges.  </w:t>
      </w:r>
    </w:p>
    <w:p w14:paraId="73A7B034" w14:textId="77777777" w:rsidR="00924635" w:rsidRPr="00EC79E0" w:rsidRDefault="00924635" w:rsidP="00924635">
      <w:pPr>
        <w:spacing w:after="0" w:line="240" w:lineRule="auto"/>
        <w:rPr>
          <w:rFonts w:eastAsia="Times New Roman" w:cs="Times New Roman"/>
          <w:szCs w:val="24"/>
        </w:rPr>
      </w:pPr>
    </w:p>
    <w:p w14:paraId="031FB541" w14:textId="77777777" w:rsidR="00924635" w:rsidRDefault="00924635" w:rsidP="0092463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Following the in-depth hydrogen case study, this Part draws examples from another highly-networked, technical, critical industry–the Internet economy–that emerged from a thread of activity to a status of global dominance. The comparison between the Internet economy and the hydrogen economy, the latter of which is essentially at the dial-up equivalent stage of development, allows us to further examine the promise and perils of self-regulation in supporting growth in emerging industries writ large. </w:t>
      </w:r>
    </w:p>
    <w:p w14:paraId="11238563" w14:textId="77777777" w:rsidR="006F7C65" w:rsidRDefault="006F7C65" w:rsidP="00924635">
      <w:pPr>
        <w:spacing w:after="0" w:line="240" w:lineRule="auto"/>
        <w:ind w:firstLine="720"/>
        <w:jc w:val="both"/>
        <w:rPr>
          <w:rFonts w:eastAsia="Times New Roman" w:cs="Times New Roman"/>
          <w:color w:val="000000"/>
          <w:szCs w:val="24"/>
        </w:rPr>
      </w:pPr>
    </w:p>
    <w:p w14:paraId="61B9E813" w14:textId="678AB82B" w:rsidR="006F7C65" w:rsidRDefault="006F7C65" w:rsidP="006F7C65">
      <w:pPr>
        <w:spacing w:after="0" w:line="240" w:lineRule="auto"/>
        <w:ind w:firstLine="720"/>
        <w:jc w:val="both"/>
        <w:rPr>
          <w:rFonts w:eastAsia="Times New Roman" w:cs="Times New Roman"/>
          <w:szCs w:val="24"/>
        </w:rPr>
      </w:pPr>
      <w:r>
        <w:rPr>
          <w:rFonts w:eastAsia="Times New Roman" w:cs="Times New Roman"/>
          <w:szCs w:val="24"/>
        </w:rPr>
        <w:t xml:space="preserve">Finally, this part briefly explores the beginnings of complementary self-regulation and public governance in the artificial intelligence sector, exploring some of the early lessons from this field. </w:t>
      </w:r>
    </w:p>
    <w:p w14:paraId="5D9AC852" w14:textId="77777777" w:rsidR="006F7C65" w:rsidRDefault="006F7C65" w:rsidP="006F7C65">
      <w:pPr>
        <w:spacing w:after="0" w:line="240" w:lineRule="auto"/>
        <w:ind w:firstLine="720"/>
        <w:jc w:val="both"/>
        <w:rPr>
          <w:rFonts w:eastAsia="Times New Roman" w:cs="Times New Roman"/>
          <w:szCs w:val="24"/>
        </w:rPr>
      </w:pPr>
    </w:p>
    <w:p w14:paraId="6735BEE1" w14:textId="1C104A04" w:rsidR="006F7C65" w:rsidRPr="00EC79E0" w:rsidRDefault="006F7C65" w:rsidP="006F7C65">
      <w:pPr>
        <w:spacing w:after="0" w:line="240" w:lineRule="auto"/>
        <w:ind w:firstLine="720"/>
        <w:jc w:val="both"/>
        <w:rPr>
          <w:rFonts w:eastAsia="Times New Roman" w:cs="Times New Roman"/>
          <w:szCs w:val="24"/>
        </w:rPr>
      </w:pPr>
      <w:r>
        <w:rPr>
          <w:rFonts w:eastAsia="Times New Roman" w:cs="Times New Roman"/>
          <w:szCs w:val="24"/>
        </w:rPr>
        <w:t xml:space="preserve">This Part chooses these case studies to further highlight the theoretical principles (and some practical examples from a broad range of sectors) highlighted in Part II. It focuses on hydrogen and the Internet because these </w:t>
      </w:r>
      <w:r>
        <w:rPr>
          <w:rFonts w:eastAsia="Times New Roman" w:cs="Times New Roman"/>
          <w:szCs w:val="24"/>
        </w:rPr>
        <w:lastRenderedPageBreak/>
        <w:t>sectors were, or once were, critical emerging industries that were highly networked—involving multiple sub-sectors that required coordination for the industries to be successful. This Part also briefly explores artificial intelligence</w:t>
      </w:r>
      <w:r w:rsidR="005D17B2">
        <w:rPr>
          <w:rFonts w:eastAsia="Times New Roman" w:cs="Times New Roman"/>
          <w:szCs w:val="24"/>
        </w:rPr>
        <w:t xml:space="preserve"> (a non-network industry</w:t>
      </w:r>
      <w:bookmarkStart w:id="38" w:name="_Ref142322531"/>
      <w:r w:rsidR="005D17B2">
        <w:rPr>
          <w:rStyle w:val="FootnoteReference"/>
          <w:rFonts w:eastAsia="Times New Roman" w:cs="Times New Roman"/>
          <w:szCs w:val="24"/>
        </w:rPr>
        <w:footnoteReference w:id="110"/>
      </w:r>
      <w:bookmarkEnd w:id="38"/>
      <w:r w:rsidR="005D17B2">
        <w:rPr>
          <w:rFonts w:eastAsia="Times New Roman" w:cs="Times New Roman"/>
          <w:szCs w:val="24"/>
        </w:rPr>
        <w:t>)</w:t>
      </w:r>
      <w:r>
        <w:rPr>
          <w:rFonts w:eastAsia="Times New Roman" w:cs="Times New Roman"/>
          <w:szCs w:val="24"/>
        </w:rPr>
        <w:t xml:space="preserve"> because it is </w:t>
      </w:r>
      <w:r w:rsidR="003F2FC2">
        <w:rPr>
          <w:rFonts w:eastAsia="Times New Roman" w:cs="Times New Roman"/>
          <w:szCs w:val="24"/>
        </w:rPr>
        <w:t>particularly representative of two of the features that we focus on in this Article. It is</w:t>
      </w:r>
      <w:r>
        <w:rPr>
          <w:rFonts w:eastAsia="Times New Roman" w:cs="Times New Roman"/>
          <w:szCs w:val="24"/>
        </w:rPr>
        <w:t xml:space="preserve"> emergent and critical</w:t>
      </w:r>
      <w:r w:rsidR="003F2FC2">
        <w:rPr>
          <w:rFonts w:eastAsia="Times New Roman" w:cs="Times New Roman"/>
          <w:szCs w:val="24"/>
        </w:rPr>
        <w:t>, in that AI</w:t>
      </w:r>
      <w:r>
        <w:rPr>
          <w:rFonts w:eastAsia="Times New Roman" w:cs="Times New Roman"/>
          <w:szCs w:val="24"/>
        </w:rPr>
        <w:t xml:space="preserve"> could offer extensive societal benefits yet also poses grave threats.</w:t>
      </w:r>
      <w:r w:rsidR="003F2FC2">
        <w:rPr>
          <w:rStyle w:val="FootnoteReference"/>
          <w:rFonts w:eastAsia="Times New Roman" w:cs="Times New Roman"/>
          <w:szCs w:val="24"/>
        </w:rPr>
        <w:footnoteReference w:id="111"/>
      </w:r>
      <w:r>
        <w:rPr>
          <w:rFonts w:eastAsia="Times New Roman" w:cs="Times New Roman"/>
          <w:szCs w:val="24"/>
        </w:rPr>
        <w:t xml:space="preserve"> </w:t>
      </w:r>
    </w:p>
    <w:p w14:paraId="7279238D" w14:textId="1A4175B5" w:rsidR="00924635" w:rsidRPr="00EC79E0" w:rsidRDefault="00924635" w:rsidP="00924635">
      <w:pPr>
        <w:spacing w:after="0" w:line="240" w:lineRule="auto"/>
        <w:rPr>
          <w:rFonts w:eastAsia="Times New Roman" w:cs="Times New Roman"/>
          <w:szCs w:val="24"/>
        </w:rPr>
      </w:pPr>
    </w:p>
    <w:p w14:paraId="2886BA75" w14:textId="1CE495C6" w:rsidR="00381BDD" w:rsidRDefault="00523783" w:rsidP="00403D85">
      <w:pPr>
        <w:pStyle w:val="Heading3"/>
        <w:ind w:left="720" w:hanging="720"/>
        <w:rPr>
          <w:rFonts w:eastAsia="Times New Roman"/>
        </w:rPr>
      </w:pPr>
      <w:bookmarkStart w:id="39" w:name="_Toc141791878"/>
      <w:r>
        <w:rPr>
          <w:rFonts w:eastAsia="Times New Roman"/>
        </w:rPr>
        <w:t xml:space="preserve">A. </w:t>
      </w:r>
      <w:r>
        <w:rPr>
          <w:rFonts w:eastAsia="Times New Roman"/>
        </w:rPr>
        <w:tab/>
      </w:r>
      <w:r w:rsidR="00924635" w:rsidRPr="00EC79E0">
        <w:rPr>
          <w:rFonts w:eastAsia="Times New Roman"/>
        </w:rPr>
        <w:t>Hydrogen as a Textbook Case of Growth Through Self-Regulatory Support</w:t>
      </w:r>
      <w:bookmarkEnd w:id="39"/>
      <w:r w:rsidR="00924635" w:rsidRPr="00EC79E0">
        <w:rPr>
          <w:rFonts w:eastAsia="Times New Roman"/>
        </w:rPr>
        <w:tab/>
      </w:r>
    </w:p>
    <w:p w14:paraId="08DB5FA2" w14:textId="77777777" w:rsidR="00381BDD" w:rsidRDefault="00381BDD" w:rsidP="00924635">
      <w:pPr>
        <w:spacing w:after="0" w:line="240" w:lineRule="auto"/>
        <w:jc w:val="both"/>
        <w:rPr>
          <w:rFonts w:eastAsia="Times New Roman" w:cs="Times New Roman"/>
          <w:color w:val="000000"/>
          <w:szCs w:val="24"/>
        </w:rPr>
      </w:pPr>
    </w:p>
    <w:p w14:paraId="2242BEE2" w14:textId="587B2F88" w:rsidR="00924635" w:rsidRDefault="0092463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The development of industry standards in the hydrogen space largely reflects a pattern of standards within similar emerging industries over the past two centuries: an individual or company pioneers a new technology or practice, a nascent but growing industry endeavors to persuade the public of the need for this innovation and of its safety and/or utility; and somewhat coordinated industry standards, alongside or prior to governmental regulations, emerge. Industry writes these standards (or relies on an SSO to write these standards) for several purposes: to persuade the public of the safety of the innovation; to avoid the potential for an industry-wide collapse if a high-profile safety incident were to occur; and to produce somewhat coordinated standards to make implementation of the innovation feasible.</w:t>
      </w:r>
    </w:p>
    <w:p w14:paraId="0694177A" w14:textId="77777777" w:rsidR="005C5C75" w:rsidRDefault="005C5C75">
      <w:pPr>
        <w:spacing w:after="0" w:line="240" w:lineRule="auto"/>
        <w:ind w:firstLine="720"/>
        <w:jc w:val="both"/>
        <w:rPr>
          <w:rFonts w:eastAsia="Times New Roman" w:cs="Times New Roman"/>
          <w:color w:val="000000"/>
          <w:szCs w:val="24"/>
        </w:rPr>
      </w:pPr>
    </w:p>
    <w:p w14:paraId="7AB67AB2" w14:textId="578E3643" w:rsidR="005C5C75" w:rsidRPr="00403D85" w:rsidRDefault="005C5C75" w:rsidP="00403D85">
      <w:pPr>
        <w:pStyle w:val="ListParagraph"/>
        <w:numPr>
          <w:ilvl w:val="1"/>
          <w:numId w:val="4"/>
        </w:numPr>
        <w:spacing w:after="0" w:line="240" w:lineRule="auto"/>
        <w:jc w:val="both"/>
        <w:rPr>
          <w:rFonts w:eastAsia="Times New Roman" w:cs="Times New Roman"/>
          <w:szCs w:val="24"/>
        </w:rPr>
      </w:pPr>
      <w:r>
        <w:rPr>
          <w:rFonts w:eastAsia="Times New Roman" w:cs="Times New Roman"/>
          <w:szCs w:val="24"/>
        </w:rPr>
        <w:t xml:space="preserve">Why A Focus on Hydrogen? </w:t>
      </w:r>
    </w:p>
    <w:p w14:paraId="75A1A55C" w14:textId="77777777" w:rsidR="00924635" w:rsidRPr="00EC79E0" w:rsidRDefault="00924635" w:rsidP="00924635">
      <w:pPr>
        <w:spacing w:after="0" w:line="240" w:lineRule="auto"/>
        <w:rPr>
          <w:rFonts w:eastAsia="Times New Roman" w:cs="Times New Roman"/>
          <w:szCs w:val="24"/>
        </w:rPr>
      </w:pPr>
    </w:p>
    <w:p w14:paraId="01BE8803" w14:textId="3525F9A2" w:rsidR="00F56F9E" w:rsidRDefault="00924635" w:rsidP="00F56F9E">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The hydrogen economy—one that has faltered in the past and is now receiving billions of dollars in global support—serves as an ideal case study of the role of self-regulation in complex emerging economies.</w:t>
      </w:r>
      <w:r w:rsidR="00A84DD6">
        <w:rPr>
          <w:rFonts w:eastAsia="Times New Roman" w:cs="Times New Roman"/>
          <w:color w:val="000000"/>
          <w:szCs w:val="24"/>
        </w:rPr>
        <w:t xml:space="preserve"> It is a nascent, critical, highly-networked industry.</w:t>
      </w:r>
      <w:r w:rsidRPr="00EC79E0">
        <w:rPr>
          <w:rFonts w:eastAsia="Times New Roman" w:cs="Times New Roman"/>
          <w:color w:val="000000"/>
          <w:szCs w:val="24"/>
        </w:rPr>
        <w:t xml:space="preserve"> </w:t>
      </w:r>
      <w:r w:rsidR="00A84DD6">
        <w:rPr>
          <w:rFonts w:eastAsia="Times New Roman" w:cs="Times New Roman"/>
          <w:color w:val="000000"/>
          <w:szCs w:val="24"/>
        </w:rPr>
        <w:t>In 2023, hydrogen is</w:t>
      </w:r>
      <w:r w:rsidR="00F56F9E" w:rsidRPr="00EC79E0">
        <w:rPr>
          <w:rFonts w:eastAsia="Times New Roman" w:cs="Times New Roman"/>
          <w:color w:val="000000"/>
          <w:szCs w:val="24"/>
        </w:rPr>
        <w:t xml:space="preserve"> an industry that barely exists at present but that must become much more central in a short amount of time to meet public climate governance goals. </w:t>
      </w:r>
      <w:r w:rsidR="00A84DD6">
        <w:rPr>
          <w:rFonts w:eastAsia="Times New Roman" w:cs="Times New Roman"/>
          <w:color w:val="000000"/>
          <w:szCs w:val="24"/>
        </w:rPr>
        <w:t>Despite</w:t>
      </w:r>
      <w:r w:rsidR="00F56F9E" w:rsidRPr="00EC79E0">
        <w:rPr>
          <w:rFonts w:eastAsia="Times New Roman" w:cs="Times New Roman"/>
          <w:color w:val="000000"/>
          <w:szCs w:val="24"/>
        </w:rPr>
        <w:t xml:space="preserve"> playing an extremely minor role in today’s economy</w:t>
      </w:r>
      <w:r w:rsidR="00A84DD6">
        <w:rPr>
          <w:rFonts w:eastAsia="Times New Roman" w:cs="Times New Roman"/>
          <w:color w:val="000000"/>
          <w:szCs w:val="24"/>
        </w:rPr>
        <w:t xml:space="preserve">, hydrogen </w:t>
      </w:r>
      <w:r w:rsidR="00F56F9E" w:rsidRPr="00EC79E0">
        <w:rPr>
          <w:rFonts w:eastAsia="Times New Roman" w:cs="Times New Roman"/>
          <w:color w:val="000000"/>
          <w:szCs w:val="24"/>
        </w:rPr>
        <w:t xml:space="preserve">is at a critical growth stage because it is integral to most strategies for decarbonization of the economy. Studies suggest that using hydrogen as a liquid or gaseous fuel to replace existing fossil-fuel products could be essential to decarbonizing heavy industry, air travel, shipping, and other “hard to decarbonize” </w:t>
      </w:r>
      <w:r w:rsidR="00F56F9E" w:rsidRPr="00EC79E0">
        <w:rPr>
          <w:rFonts w:eastAsia="Times New Roman" w:cs="Times New Roman"/>
          <w:color w:val="000000"/>
          <w:szCs w:val="24"/>
        </w:rPr>
        <w:lastRenderedPageBreak/>
        <w:t>activities.</w:t>
      </w:r>
      <w:r w:rsidR="00A84DD6">
        <w:rPr>
          <w:rStyle w:val="FootnoteReference"/>
          <w:rFonts w:eastAsia="Times New Roman" w:cs="Times New Roman"/>
          <w:color w:val="000000"/>
          <w:szCs w:val="24"/>
        </w:rPr>
        <w:footnoteReference w:id="112"/>
      </w:r>
      <w:r w:rsidR="00F56F9E" w:rsidRPr="00EC79E0">
        <w:rPr>
          <w:rFonts w:eastAsia="Times New Roman" w:cs="Times New Roman"/>
          <w:color w:val="000000"/>
          <w:szCs w:val="24"/>
        </w:rPr>
        <w:t xml:space="preserve"> In every scenario identified by the Deep Decarbonization Pathways Project, so-called “green” hydrogen (hydrogen manufactured through electrolysis using renewable energy power) use will have to expand massively, providing low-carbon liquid fuel for transportation and gas fuel for building heating and industrial activities.</w:t>
      </w:r>
      <w:r w:rsidR="00A84DD6">
        <w:rPr>
          <w:rStyle w:val="FootnoteReference"/>
          <w:rFonts w:eastAsia="Times New Roman" w:cs="Times New Roman"/>
          <w:color w:val="000000"/>
          <w:szCs w:val="24"/>
        </w:rPr>
        <w:footnoteReference w:id="113"/>
      </w:r>
      <w:r w:rsidR="00F56F9E" w:rsidRPr="00EC79E0">
        <w:rPr>
          <w:rFonts w:eastAsia="Times New Roman" w:cs="Times New Roman"/>
          <w:color w:val="000000"/>
          <w:szCs w:val="24"/>
        </w:rPr>
        <w:t xml:space="preserve"> Increasingly, proponents are touting the potential clean energy storage benefits of using excess renewable energy to generate hydrogen fuel, which, unlike intermittent renewable energy, can be easily stored for later use.</w:t>
      </w:r>
      <w:r w:rsidR="00F56F9E">
        <w:rPr>
          <w:rStyle w:val="FootnoteReference"/>
          <w:rFonts w:eastAsia="Times New Roman" w:cs="Times New Roman"/>
          <w:color w:val="000000"/>
          <w:szCs w:val="24"/>
        </w:rPr>
        <w:footnoteReference w:id="114"/>
      </w:r>
      <w:r w:rsidR="00F56F9E" w:rsidRPr="00EC79E0">
        <w:rPr>
          <w:rFonts w:eastAsia="Times New Roman" w:cs="Times New Roman"/>
          <w:color w:val="000000"/>
          <w:szCs w:val="24"/>
        </w:rPr>
        <w:t> </w:t>
      </w:r>
    </w:p>
    <w:p w14:paraId="37B86050" w14:textId="77777777" w:rsidR="00384B29" w:rsidRDefault="00384B29" w:rsidP="00F56F9E">
      <w:pPr>
        <w:spacing w:after="0" w:line="240" w:lineRule="auto"/>
        <w:ind w:firstLine="720"/>
        <w:jc w:val="both"/>
        <w:rPr>
          <w:rFonts w:eastAsia="Times New Roman" w:cs="Times New Roman"/>
          <w:color w:val="000000"/>
          <w:szCs w:val="24"/>
        </w:rPr>
      </w:pPr>
    </w:p>
    <w:p w14:paraId="3E14368C" w14:textId="3737A438" w:rsidR="00384B29" w:rsidRPr="00EC79E0" w:rsidRDefault="00E653CA" w:rsidP="00384B29">
      <w:pPr>
        <w:spacing w:after="0" w:line="240" w:lineRule="auto"/>
        <w:ind w:firstLine="720"/>
        <w:jc w:val="both"/>
        <w:rPr>
          <w:rFonts w:eastAsia="Times New Roman" w:cs="Times New Roman"/>
          <w:szCs w:val="24"/>
        </w:rPr>
      </w:pPr>
      <w:r>
        <w:rPr>
          <w:rFonts w:eastAsia="Times New Roman" w:cs="Times New Roman"/>
          <w:color w:val="000000"/>
          <w:szCs w:val="24"/>
        </w:rPr>
        <w:t>Due to the central role of hydrogen in the energy transition to a lower-carbon future, g</w:t>
      </w:r>
      <w:r w:rsidR="00384B29" w:rsidRPr="00EC79E0">
        <w:rPr>
          <w:rFonts w:eastAsia="Times New Roman" w:cs="Times New Roman"/>
          <w:color w:val="000000"/>
          <w:szCs w:val="24"/>
        </w:rPr>
        <w:t>overnments are racing to enlarge the hydrogen sector, investing more than $200 billion in concrete global government funding for the industry, including $8 billion in the U.S. Bipartisan Infrastructure Bill dedicated to supporting “clean hydrogen hubs” and funding research and development of hydrogen production techniques</w:t>
      </w:r>
      <w:r w:rsidR="00384B29">
        <w:rPr>
          <w:rFonts w:eastAsia="Times New Roman" w:cs="Times New Roman"/>
          <w:color w:val="000000"/>
          <w:szCs w:val="24"/>
        </w:rPr>
        <w:t>.</w:t>
      </w:r>
      <w:r w:rsidR="00384B29">
        <w:rPr>
          <w:rStyle w:val="FootnoteReference"/>
          <w:rFonts w:eastAsia="Times New Roman" w:cs="Times New Roman"/>
          <w:color w:val="000000"/>
          <w:szCs w:val="24"/>
        </w:rPr>
        <w:footnoteReference w:id="115"/>
      </w:r>
      <w:r w:rsidR="00384B29" w:rsidRPr="00EC79E0">
        <w:rPr>
          <w:rFonts w:eastAsia="Times New Roman" w:cs="Times New Roman"/>
          <w:color w:val="000000"/>
          <w:szCs w:val="24"/>
        </w:rPr>
        <w:t xml:space="preserve"> The U.S. Inflation Reduction Act includes a new tax credit for hydrogen production, provides property tax credits for hydrogen fuel stations, includes hydrogen-fueled vehicles within a new Clean Vehicle Credit ($7,500 for new vehicles), and contains numerous other provisions supporting a hydrogen economy</w:t>
      </w:r>
      <w:r w:rsidR="00384B29">
        <w:rPr>
          <w:rFonts w:eastAsia="Times New Roman" w:cs="Times New Roman"/>
          <w:color w:val="000000"/>
          <w:szCs w:val="24"/>
        </w:rPr>
        <w:t>.</w:t>
      </w:r>
      <w:bookmarkStart w:id="40" w:name="_Ref142249467"/>
      <w:r w:rsidR="00384B29">
        <w:rPr>
          <w:rStyle w:val="FootnoteReference"/>
          <w:rFonts w:eastAsia="Times New Roman" w:cs="Times New Roman"/>
          <w:color w:val="000000"/>
          <w:szCs w:val="24"/>
        </w:rPr>
        <w:footnoteReference w:id="116"/>
      </w:r>
      <w:bookmarkEnd w:id="40"/>
      <w:r w:rsidR="00384B29" w:rsidRPr="00EC79E0">
        <w:rPr>
          <w:rFonts w:eastAsia="Times New Roman" w:cs="Times New Roman"/>
          <w:color w:val="000000"/>
          <w:szCs w:val="24"/>
        </w:rPr>
        <w:t xml:space="preserve"> Despite the current enthusiasm and government support for hydrogen, a mountain of hurdles stands between these ambitions and the realization of a hydrogen economy, including the challenge of getting multiple components of a networked economy up and running simultaneously and producing standards to guide all of these components while avoiding duplicative efforts at standard-setting. </w:t>
      </w:r>
    </w:p>
    <w:p w14:paraId="719BDCC9" w14:textId="77777777" w:rsidR="00384B29" w:rsidRPr="00EC79E0" w:rsidRDefault="00384B29" w:rsidP="00F56F9E">
      <w:pPr>
        <w:spacing w:after="0" w:line="240" w:lineRule="auto"/>
        <w:ind w:firstLine="720"/>
        <w:jc w:val="both"/>
        <w:rPr>
          <w:rFonts w:eastAsia="Times New Roman" w:cs="Times New Roman"/>
          <w:szCs w:val="24"/>
        </w:rPr>
      </w:pPr>
    </w:p>
    <w:p w14:paraId="057485CE" w14:textId="77777777" w:rsidR="00F56F9E" w:rsidRPr="00EC79E0" w:rsidRDefault="00F56F9E" w:rsidP="00F56F9E">
      <w:pPr>
        <w:spacing w:after="0" w:line="240" w:lineRule="auto"/>
        <w:ind w:firstLine="720"/>
        <w:jc w:val="both"/>
        <w:rPr>
          <w:rFonts w:eastAsia="Times New Roman" w:cs="Times New Roman"/>
          <w:szCs w:val="24"/>
        </w:rPr>
      </w:pPr>
      <w:r w:rsidRPr="00EC79E0">
        <w:rPr>
          <w:rFonts w:eastAsia="Times New Roman" w:cs="Times New Roman"/>
          <w:color w:val="000000"/>
          <w:szCs w:val="24"/>
        </w:rPr>
        <w:t> </w:t>
      </w:r>
    </w:p>
    <w:p w14:paraId="623DD17B" w14:textId="382AB514" w:rsidR="00F56F9E" w:rsidRPr="00EC79E0" w:rsidRDefault="00F56F9E" w:rsidP="00F56F9E">
      <w:pPr>
        <w:spacing w:after="0" w:line="240" w:lineRule="auto"/>
        <w:ind w:firstLine="720"/>
        <w:jc w:val="both"/>
        <w:rPr>
          <w:rFonts w:eastAsia="Times New Roman" w:cs="Times New Roman"/>
          <w:szCs w:val="24"/>
        </w:rPr>
      </w:pPr>
      <w:r w:rsidRPr="00EC79E0">
        <w:rPr>
          <w:rFonts w:eastAsia="Times New Roman" w:cs="Times New Roman"/>
          <w:color w:val="000000"/>
          <w:szCs w:val="24"/>
        </w:rPr>
        <w:t xml:space="preserve">At present, the hydrogen industry is essentially undeveloped. While in the United States hydrogen is currently shipped through about 1,600 miles </w:t>
      </w:r>
      <w:r w:rsidRPr="00EC79E0">
        <w:rPr>
          <w:rFonts w:eastAsia="Times New Roman" w:cs="Times New Roman"/>
          <w:color w:val="000000"/>
          <w:szCs w:val="24"/>
        </w:rPr>
        <w:lastRenderedPageBreak/>
        <w:t>of pipeline and used in certain refinery and chemical manufacturing processes,</w:t>
      </w:r>
      <w:r w:rsidR="00E653CA">
        <w:rPr>
          <w:rStyle w:val="FootnoteReference"/>
          <w:rFonts w:eastAsia="Times New Roman" w:cs="Times New Roman"/>
          <w:color w:val="000000"/>
          <w:szCs w:val="24"/>
        </w:rPr>
        <w:footnoteReference w:id="117"/>
      </w:r>
      <w:r w:rsidRPr="00EC79E0">
        <w:rPr>
          <w:rFonts w:eastAsia="Times New Roman" w:cs="Times New Roman"/>
          <w:color w:val="000000"/>
          <w:szCs w:val="24"/>
        </w:rPr>
        <w:t xml:space="preserve"> many of the expected applications of hydrogen are entirely hypothetical at this point, and generation, storage, transportation, and distribution would all have to be scaled up drastically, and simultaneously. The Department of Energy’s comprehensive “Hydrogen Program Plan” estimates that there is likely to be a $2.5 trillion global market for hydrogen by 2050, with the U.S. share of the market amounting to $750 billion per year.</w:t>
      </w:r>
      <w:commentRangeStart w:id="41"/>
      <w:r w:rsidR="00E653CA">
        <w:rPr>
          <w:rStyle w:val="FootnoteReference"/>
          <w:rFonts w:eastAsia="Times New Roman" w:cs="Times New Roman"/>
          <w:color w:val="000000"/>
          <w:szCs w:val="24"/>
        </w:rPr>
        <w:footnoteReference w:id="118"/>
      </w:r>
      <w:r w:rsidRPr="00EC79E0">
        <w:rPr>
          <w:rFonts w:eastAsia="Times New Roman" w:cs="Times New Roman"/>
          <w:color w:val="000000"/>
          <w:szCs w:val="24"/>
        </w:rPr>
        <w:t xml:space="preserve"> </w:t>
      </w:r>
      <w:commentRangeEnd w:id="41"/>
      <w:r w:rsidR="00D01ECA">
        <w:rPr>
          <w:rStyle w:val="CommentReference"/>
        </w:rPr>
        <w:commentReference w:id="41"/>
      </w:r>
      <w:r w:rsidRPr="00EC79E0">
        <w:rPr>
          <w:rFonts w:eastAsia="Times New Roman" w:cs="Times New Roman"/>
          <w:color w:val="000000"/>
          <w:szCs w:val="24"/>
        </w:rPr>
        <w:t> </w:t>
      </w:r>
    </w:p>
    <w:p w14:paraId="789A3B81" w14:textId="77777777" w:rsidR="00F56F9E" w:rsidRPr="00EC79E0" w:rsidRDefault="00F56F9E" w:rsidP="00F56F9E">
      <w:pPr>
        <w:spacing w:after="0" w:line="240" w:lineRule="auto"/>
        <w:rPr>
          <w:rFonts w:eastAsia="Times New Roman" w:cs="Times New Roman"/>
          <w:szCs w:val="24"/>
        </w:rPr>
      </w:pPr>
    </w:p>
    <w:p w14:paraId="4FE9C0FE" w14:textId="623EAF51" w:rsidR="00F56F9E" w:rsidRPr="00EC79E0" w:rsidRDefault="00F56F9E" w:rsidP="00F56F9E">
      <w:pPr>
        <w:spacing w:after="0" w:line="240" w:lineRule="auto"/>
        <w:ind w:firstLine="720"/>
        <w:jc w:val="both"/>
        <w:rPr>
          <w:rFonts w:eastAsia="Times New Roman" w:cs="Times New Roman"/>
          <w:szCs w:val="24"/>
        </w:rPr>
      </w:pPr>
      <w:r w:rsidRPr="00EC79E0">
        <w:rPr>
          <w:rFonts w:eastAsia="Times New Roman" w:cs="Times New Roman"/>
          <w:color w:val="000000"/>
          <w:szCs w:val="24"/>
        </w:rPr>
        <w:t>Adding to the challenge, the hydrogen economy will have to be a networked, infrastructure-heavy industry, and it therefore poses classic coordination problems.</w:t>
      </w:r>
      <w:r w:rsidR="00F23FBC">
        <w:rPr>
          <w:rStyle w:val="FootnoteReference"/>
          <w:rFonts w:eastAsia="Times New Roman" w:cs="Times New Roman"/>
          <w:color w:val="000000"/>
          <w:szCs w:val="24"/>
        </w:rPr>
        <w:footnoteReference w:id="119"/>
      </w:r>
      <w:r w:rsidRPr="00EC79E0">
        <w:rPr>
          <w:rFonts w:eastAsia="Times New Roman" w:cs="Times New Roman"/>
          <w:color w:val="000000"/>
          <w:szCs w:val="24"/>
        </w:rPr>
        <w:t xml:space="preserve"> Production is unlikely to emerge without committed end-use outlets and pipelines and distribution infrastructure to access those outlets; end users, in turn, will not commit to purchase hydrogen without an assurance of steady availability and transport options for the product. The hydrogen economy is in some sense a “lumpy social good” that may not be supplied without careful coordination of the various complementary (and, in some cases, nonexistent) components of the industry</w:t>
      </w:r>
      <w:r w:rsidR="00F23FBC">
        <w:rPr>
          <w:rFonts w:eastAsia="Times New Roman" w:cs="Times New Roman"/>
          <w:color w:val="000000"/>
          <w:szCs w:val="24"/>
        </w:rPr>
        <w:t>.</w:t>
      </w:r>
      <w:r w:rsidR="00F23FBC">
        <w:rPr>
          <w:rStyle w:val="FootnoteReference"/>
          <w:rFonts w:eastAsia="Times New Roman" w:cs="Times New Roman"/>
          <w:color w:val="000000"/>
          <w:szCs w:val="24"/>
        </w:rPr>
        <w:footnoteReference w:id="120"/>
      </w:r>
      <w:r w:rsidR="00F23FBC">
        <w:rPr>
          <w:rFonts w:eastAsia="Times New Roman" w:cs="Times New Roman"/>
          <w:color w:val="000000"/>
          <w:szCs w:val="24"/>
        </w:rPr>
        <w:t xml:space="preserve"> </w:t>
      </w:r>
      <w:r w:rsidRPr="00EC79E0">
        <w:rPr>
          <w:rFonts w:eastAsia="Times New Roman" w:cs="Times New Roman"/>
          <w:color w:val="000000"/>
          <w:szCs w:val="24"/>
        </w:rPr>
        <w:t>Furthermore, hydrogen has classic network effects; hydrogen-fueled vehicles and factories will be more economical the more the network of pipelines, distribution lines, and (for vehicles) fueling stations expands, and the more end uses emerge. Developing all of these physical system components simultaneously to achieve the needed coordination of the hydrogen economy and realize network effects poses an enormous challenge–particularly the need for the simultaneous development of standards in many different facets of the industry. Beyond coordination challenges, the hydrogen industry is somewhat path dependent: once a specific design for metals for hydrogen tanks and pipelines is selected, it will be difficult to turn back. Such path dependency is often cited as a factor militating in favor of self-regulation,</w:t>
      </w:r>
      <w:bookmarkStart w:id="42" w:name="_Ref142253893"/>
      <w:r w:rsidR="00F23FBC">
        <w:rPr>
          <w:rStyle w:val="FootnoteReference"/>
          <w:rFonts w:eastAsia="Times New Roman" w:cs="Times New Roman"/>
          <w:color w:val="000000"/>
          <w:szCs w:val="24"/>
        </w:rPr>
        <w:footnoteReference w:id="121"/>
      </w:r>
      <w:bookmarkEnd w:id="42"/>
      <w:r w:rsidRPr="00EC79E0">
        <w:rPr>
          <w:rFonts w:eastAsia="Times New Roman" w:cs="Times New Roman"/>
          <w:color w:val="000000"/>
          <w:szCs w:val="24"/>
        </w:rPr>
        <w:t xml:space="preserve"> and it will be exceedingly important to get the substantive standards right in the hydrogen space–creating certainty for industry yet also allowing some flexibility as more is learned. And finally, jurisdiction over the many components of the hydrogen economy is far from clear, leading to regulatory gaps and also calling for cross-jurisdictional </w:t>
      </w:r>
      <w:r w:rsidRPr="00EC79E0">
        <w:rPr>
          <w:rFonts w:eastAsia="Times New Roman" w:cs="Times New Roman"/>
          <w:color w:val="000000"/>
          <w:szCs w:val="24"/>
        </w:rPr>
        <w:lastRenderedPageBreak/>
        <w:t xml:space="preserve">consistency—which self-regulation can provide—while public entities iron out </w:t>
      </w:r>
      <w:r w:rsidRPr="00EC79E0">
        <w:rPr>
          <w:rFonts w:eastAsia="Times New Roman" w:cs="Times New Roman"/>
          <w:i/>
          <w:iCs/>
          <w:color w:val="000000"/>
          <w:szCs w:val="24"/>
        </w:rPr>
        <w:t xml:space="preserve">who </w:t>
      </w:r>
      <w:r w:rsidRPr="00EC79E0">
        <w:rPr>
          <w:rFonts w:eastAsia="Times New Roman" w:cs="Times New Roman"/>
          <w:color w:val="000000"/>
          <w:szCs w:val="24"/>
        </w:rPr>
        <w:t>will ultimately regulate particular aspects of the hydrogen economy. </w:t>
      </w:r>
    </w:p>
    <w:p w14:paraId="3A717B71" w14:textId="559DB74D" w:rsidR="00F56F9E" w:rsidRDefault="00F56F9E" w:rsidP="00924635">
      <w:pPr>
        <w:spacing w:after="0" w:line="240" w:lineRule="auto"/>
        <w:ind w:firstLine="720"/>
        <w:jc w:val="both"/>
        <w:rPr>
          <w:rFonts w:eastAsia="Times New Roman" w:cs="Times New Roman"/>
          <w:color w:val="000000"/>
          <w:szCs w:val="24"/>
        </w:rPr>
      </w:pPr>
    </w:p>
    <w:p w14:paraId="46F1172E" w14:textId="77777777" w:rsidR="00F56F9E" w:rsidRDefault="00F56F9E" w:rsidP="00924635">
      <w:pPr>
        <w:spacing w:after="0" w:line="240" w:lineRule="auto"/>
        <w:ind w:firstLine="720"/>
        <w:jc w:val="both"/>
        <w:rPr>
          <w:rFonts w:eastAsia="Times New Roman" w:cs="Times New Roman"/>
          <w:color w:val="000000"/>
          <w:szCs w:val="24"/>
        </w:rPr>
      </w:pPr>
    </w:p>
    <w:p w14:paraId="3CA4F01C" w14:textId="77777777" w:rsidR="00924635" w:rsidRPr="00EC79E0" w:rsidRDefault="00924635" w:rsidP="00924635">
      <w:pPr>
        <w:spacing w:after="0" w:line="240" w:lineRule="auto"/>
        <w:rPr>
          <w:rFonts w:eastAsia="Times New Roman" w:cs="Times New Roman"/>
          <w:szCs w:val="24"/>
        </w:rPr>
      </w:pPr>
    </w:p>
    <w:p w14:paraId="1E9C368B" w14:textId="2BF60C54"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Compounding coordination challenges and the need for relatively rapid expansion of a network of hydrogen infrastructure are environmental and human health risks. Many components of the hydrogen economy will require attention to safety concerns. Although hydrogen is safer than other common fuels with respect to toxicity, it is a highly flammable and more easily ignitable substance, both in liquid form and in gas form.</w:t>
      </w:r>
      <w:r w:rsidR="007C1EF2">
        <w:rPr>
          <w:rStyle w:val="FootnoteReference"/>
          <w:rFonts w:eastAsia="Times New Roman" w:cs="Times New Roman"/>
          <w:color w:val="000000"/>
          <w:szCs w:val="24"/>
        </w:rPr>
        <w:footnoteReference w:id="122"/>
      </w:r>
      <w:r w:rsidRPr="00EC79E0">
        <w:rPr>
          <w:rFonts w:eastAsia="Times New Roman" w:cs="Times New Roman"/>
          <w:color w:val="000000"/>
          <w:szCs w:val="24"/>
        </w:rPr>
        <w:t xml:space="preserve"> Transporting hydrogen through pipelines is challenging because hydrogen embrittles the metals typically used for pipelines..</w:t>
      </w:r>
      <w:r w:rsidR="00E83A7A">
        <w:rPr>
          <w:rStyle w:val="FootnoteReference"/>
          <w:rFonts w:eastAsia="Times New Roman" w:cs="Times New Roman"/>
          <w:color w:val="000000"/>
          <w:szCs w:val="24"/>
        </w:rPr>
        <w:footnoteReference w:id="123"/>
      </w:r>
      <w:r w:rsidRPr="00EC79E0">
        <w:rPr>
          <w:rFonts w:eastAsia="Times New Roman" w:cs="Times New Roman"/>
          <w:color w:val="000000"/>
          <w:szCs w:val="24"/>
        </w:rPr>
        <w:t xml:space="preserve"> For workers handling and storing hydrogen, suffocation is a very real risk.</w:t>
      </w:r>
      <w:r w:rsidR="00E83A7A">
        <w:rPr>
          <w:rStyle w:val="FootnoteReference"/>
          <w:rFonts w:eastAsia="Times New Roman" w:cs="Times New Roman"/>
          <w:color w:val="000000"/>
          <w:szCs w:val="24"/>
        </w:rPr>
        <w:footnoteReference w:id="124"/>
      </w:r>
      <w:r w:rsidRPr="00EC79E0">
        <w:rPr>
          <w:rFonts w:eastAsia="Times New Roman" w:cs="Times New Roman"/>
          <w:color w:val="000000"/>
          <w:szCs w:val="24"/>
        </w:rPr>
        <w:t xml:space="preserve"> For many of these challenges, the unique characteristics of hydrogen will prevent simple adoption of existing regulatory approaches. Rather, rules and standards will have to be developed from scratch at the same time that researchers are continuing to update learning about hazards and industry is experimenting with solutions. Federal and state regulations, moreover, have lagged well behind innovation in this space. Even relatively simple questions, such as whether and how to repurpose natural gas pipelines to facilitate transportation of hydrogen, are currently in flux and are unlikely to be addressed in government regulations any time soon. Instead, much of the regulatory governance of the nascent hydrogen economy will have to be provided through self-regulation, and as we will discuss in this Part much of that self-regulation is already taking place. </w:t>
      </w:r>
    </w:p>
    <w:p w14:paraId="69E53A33"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szCs w:val="24"/>
        </w:rPr>
        <w:br/>
      </w:r>
    </w:p>
    <w:p w14:paraId="19F6B037" w14:textId="3D172314" w:rsidR="00924635" w:rsidRPr="00EC79E0" w:rsidRDefault="005C5C75" w:rsidP="00403D85">
      <w:pPr>
        <w:spacing w:after="0" w:line="240" w:lineRule="auto"/>
        <w:ind w:left="270"/>
        <w:jc w:val="both"/>
        <w:textAlignment w:val="baseline"/>
        <w:rPr>
          <w:rFonts w:eastAsia="Times New Roman" w:cs="Times New Roman"/>
          <w:color w:val="000000"/>
          <w:szCs w:val="24"/>
        </w:rPr>
      </w:pPr>
      <w:r>
        <w:rPr>
          <w:rFonts w:eastAsia="Times New Roman" w:cs="Times New Roman"/>
          <w:color w:val="000000"/>
          <w:szCs w:val="24"/>
        </w:rPr>
        <w:t>2.</w:t>
      </w:r>
      <w:r w:rsidR="00924635" w:rsidRPr="00EC79E0">
        <w:rPr>
          <w:rFonts w:eastAsia="Times New Roman" w:cs="Times New Roman"/>
          <w:color w:val="000000"/>
          <w:szCs w:val="24"/>
        </w:rPr>
        <w:t>The Evolution of Hydrogen Self-Regulation </w:t>
      </w:r>
    </w:p>
    <w:p w14:paraId="27D2E0DC" w14:textId="77777777" w:rsidR="00924635" w:rsidRPr="00EC79E0" w:rsidRDefault="00924635" w:rsidP="00924635">
      <w:pPr>
        <w:spacing w:after="0" w:line="240" w:lineRule="auto"/>
        <w:rPr>
          <w:rFonts w:eastAsia="Times New Roman" w:cs="Times New Roman"/>
          <w:szCs w:val="24"/>
        </w:rPr>
      </w:pPr>
    </w:p>
    <w:p w14:paraId="60091835"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One of the most coordinated standards for hydrogen—and one that covers many aspects of the hydrogen supply chain—is housed within one of the oldest and most-used standards setting organizations in the United States, the National Fire Protection Association (NFPA). Numerous states and local governments directly incorporate NFPA standards into their building, fire, and electrical codes. And the history of NFPA standards largely parallels the story of standards in a number of emerging industries, including hydrogen. </w:t>
      </w:r>
    </w:p>
    <w:p w14:paraId="57F2A39C" w14:textId="77777777" w:rsidR="00924635" w:rsidRPr="00EC79E0" w:rsidRDefault="00924635" w:rsidP="00924635">
      <w:pPr>
        <w:spacing w:after="0" w:line="240" w:lineRule="auto"/>
        <w:rPr>
          <w:rFonts w:eastAsia="Times New Roman" w:cs="Times New Roman"/>
          <w:szCs w:val="24"/>
        </w:rPr>
      </w:pPr>
    </w:p>
    <w:p w14:paraId="127B8944" w14:textId="1A455CE2"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lastRenderedPageBreak/>
        <w:tab/>
        <w:t>As explained by NFPA’s former Executive Director, a group of pioneering individuals formed the NFPA as individuals were first inventing and attempting to prove technologies for spraying water on fire–the predecessors to modern sprinkler systems—and the safety of electricity and electricity hook-ups. As new sprinkler systems took root in the 1870s, a number of different designs and standards emerged, as exemplified by nine different standards for the size of water pipes and spacing of sprinklers within buildings in the vicinity of Boston in 1895. This created a “plumber’s nightmare” and endangered the success of the fast-growing industry</w:t>
      </w:r>
      <w:r w:rsidR="008F0749">
        <w:rPr>
          <w:rFonts w:eastAsia="Times New Roman" w:cs="Times New Roman"/>
          <w:color w:val="000000"/>
          <w:szCs w:val="24"/>
        </w:rPr>
        <w:t>.</w:t>
      </w:r>
      <w:r w:rsidR="008F0749">
        <w:rPr>
          <w:rStyle w:val="FootnoteReference"/>
          <w:rFonts w:eastAsia="Times New Roman" w:cs="Times New Roman"/>
          <w:color w:val="000000"/>
          <w:szCs w:val="24"/>
        </w:rPr>
        <w:footnoteReference w:id="125"/>
      </w:r>
    </w:p>
    <w:p w14:paraId="284DB744" w14:textId="77777777" w:rsidR="00924635" w:rsidRPr="00EC79E0" w:rsidRDefault="00924635" w:rsidP="00924635">
      <w:pPr>
        <w:spacing w:after="0" w:line="240" w:lineRule="auto"/>
        <w:rPr>
          <w:rFonts w:eastAsia="Times New Roman" w:cs="Times New Roman"/>
          <w:szCs w:val="24"/>
        </w:rPr>
      </w:pPr>
    </w:p>
    <w:p w14:paraId="487C8312" w14:textId="356CCF98"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At the same time, five different U.S. standards “addressed the safe use of electrical equipment,” creating five different sets of rules for electricians installing such equipment, and generating “confusion and controversy</w:t>
      </w:r>
      <w:r w:rsidR="008F0749">
        <w:rPr>
          <w:rFonts w:eastAsia="Times New Roman" w:cs="Times New Roman"/>
          <w:color w:val="000000"/>
          <w:szCs w:val="24"/>
        </w:rPr>
        <w:t>.”</w:t>
      </w:r>
      <w:r w:rsidR="008F0749">
        <w:rPr>
          <w:rStyle w:val="FootnoteReference"/>
          <w:rFonts w:eastAsia="Times New Roman" w:cs="Times New Roman"/>
          <w:color w:val="000000"/>
          <w:szCs w:val="24"/>
        </w:rPr>
        <w:footnoteReference w:id="126"/>
      </w:r>
      <w:r w:rsidRPr="00EC79E0">
        <w:rPr>
          <w:rFonts w:eastAsia="Times New Roman" w:cs="Times New Roman"/>
          <w:color w:val="000000"/>
          <w:szCs w:val="24"/>
        </w:rPr>
        <w:t>  And the safety of electrical hook-ups was by no means proven or widely accepted by the public at this point; indeed, the 1893 World’s Fair included a “Palace of Electricity” that insurers were reluctant to cover prompting the organizers to hire an expert (William Henry Merrill) to prove the safety of the electrical equipment and hookups</w:t>
      </w:r>
      <w:r w:rsidR="008F0749">
        <w:rPr>
          <w:rFonts w:eastAsia="Times New Roman" w:cs="Times New Roman"/>
          <w:color w:val="000000"/>
          <w:szCs w:val="24"/>
        </w:rPr>
        <w:t>.</w:t>
      </w:r>
      <w:r w:rsidR="008F0749">
        <w:rPr>
          <w:rStyle w:val="FootnoteReference"/>
          <w:rFonts w:eastAsia="Times New Roman" w:cs="Times New Roman"/>
          <w:color w:val="000000"/>
          <w:szCs w:val="24"/>
        </w:rPr>
        <w:footnoteReference w:id="127"/>
      </w:r>
      <w:r w:rsidRPr="00EC79E0">
        <w:rPr>
          <w:rFonts w:eastAsia="Times New Roman" w:cs="Times New Roman"/>
          <w:color w:val="000000"/>
          <w:szCs w:val="24"/>
        </w:rPr>
        <w:t xml:space="preserve"> Electrical manufacturers subsequently wrote to Merrill for certifications of their products as safe, spurring him to create a safety testing laboratory (ultimately to be named “Underwriters Laboratories”) supported by fire insurers and electrical manufacturers.</w:t>
      </w:r>
      <w:r w:rsidR="008F0749">
        <w:rPr>
          <w:rStyle w:val="FootnoteReference"/>
          <w:rFonts w:eastAsia="Times New Roman" w:cs="Times New Roman"/>
          <w:color w:val="000000"/>
          <w:szCs w:val="24"/>
        </w:rPr>
        <w:footnoteReference w:id="128"/>
      </w:r>
      <w:r w:rsidRPr="00EC79E0">
        <w:rPr>
          <w:rFonts w:eastAsia="Times New Roman" w:cs="Times New Roman"/>
          <w:color w:val="000000"/>
          <w:szCs w:val="24"/>
        </w:rPr>
        <w:t xml:space="preserve"> But other private electrical codes were emerging at the same time, primarily written and administered by fire insurance underwriters and associations of electrical equipment manufacturers, thus contributing to the confusion noted above.</w:t>
      </w:r>
      <w:r w:rsidR="008F0749">
        <w:rPr>
          <w:rStyle w:val="FootnoteReference"/>
          <w:rFonts w:eastAsia="Times New Roman" w:cs="Times New Roman"/>
          <w:color w:val="000000"/>
          <w:szCs w:val="24"/>
        </w:rPr>
        <w:footnoteReference w:id="129"/>
      </w:r>
      <w:r w:rsidRPr="00EC79E0">
        <w:rPr>
          <w:rFonts w:eastAsia="Times New Roman" w:cs="Times New Roman"/>
          <w:color w:val="000000"/>
          <w:szCs w:val="24"/>
        </w:rPr>
        <w:t> </w:t>
      </w:r>
    </w:p>
    <w:p w14:paraId="6BBD1B6F" w14:textId="77777777" w:rsidR="00924635" w:rsidRPr="00EC79E0" w:rsidRDefault="00924635" w:rsidP="00924635">
      <w:pPr>
        <w:spacing w:after="0" w:line="240" w:lineRule="auto"/>
        <w:rPr>
          <w:rFonts w:eastAsia="Times New Roman" w:cs="Times New Roman"/>
          <w:szCs w:val="24"/>
        </w:rPr>
      </w:pPr>
    </w:p>
    <w:p w14:paraId="50D25F9E" w14:textId="23D6A4D1"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 xml:space="preserve">The late 1890s was therefore a scene of conflicting industry standards creating a confusing array of rules for electricians installing wiring and outlets and for plumbers installing sprinkler systems–all relatively new and innovative technologies at the time. Yet the confusion did not only arise on the installation side. Manufacturers were centrally concerned about easing installation so as to prove and sell their products, and fire insurance companies wanted more guidance and input on the preferable standards. Insurance underwriters and manufacturers accordingly gathered in two separate important convenings in 1896—one in which a National Electric Code was formed, and another in which members developed the NFPA. By 1897, the NFPA was established as the centralized private body for all standards relating to fire protection–electrical, sprinkler-related, and </w:t>
      </w:r>
      <w:r w:rsidRPr="00EC79E0">
        <w:rPr>
          <w:rFonts w:eastAsia="Times New Roman" w:cs="Times New Roman"/>
          <w:color w:val="000000"/>
          <w:szCs w:val="24"/>
        </w:rPr>
        <w:lastRenderedPageBreak/>
        <w:t>otherwise.</w:t>
      </w:r>
      <w:r w:rsidR="008F0749">
        <w:rPr>
          <w:rStyle w:val="FootnoteReference"/>
          <w:rFonts w:eastAsia="Times New Roman" w:cs="Times New Roman"/>
          <w:color w:val="000000"/>
          <w:szCs w:val="24"/>
        </w:rPr>
        <w:footnoteReference w:id="130"/>
      </w:r>
      <w:r w:rsidRPr="00EC79E0">
        <w:rPr>
          <w:rFonts w:eastAsia="Times New Roman" w:cs="Times New Roman"/>
          <w:color w:val="000000"/>
          <w:szCs w:val="24"/>
        </w:rPr>
        <w:t xml:space="preserve"> Fast forward to the twenty-first century, and NFPA now has one of the most comprehensive hydrogen codes–a code “structured to be the national code for hydrogen safety in the US</w:t>
      </w:r>
      <w:r w:rsidR="008F0749">
        <w:rPr>
          <w:rFonts w:eastAsia="Times New Roman" w:cs="Times New Roman"/>
          <w:color w:val="000000"/>
          <w:szCs w:val="24"/>
        </w:rPr>
        <w:t>.”</w:t>
      </w:r>
      <w:r w:rsidR="008F0749">
        <w:rPr>
          <w:rStyle w:val="FootnoteReference"/>
          <w:rFonts w:eastAsia="Times New Roman" w:cs="Times New Roman"/>
          <w:color w:val="000000"/>
          <w:szCs w:val="24"/>
        </w:rPr>
        <w:footnoteReference w:id="131"/>
      </w:r>
    </w:p>
    <w:p w14:paraId="31AB18A0" w14:textId="77777777" w:rsidR="00924635" w:rsidRPr="00EC79E0" w:rsidRDefault="00924635" w:rsidP="00924635">
      <w:pPr>
        <w:spacing w:after="0" w:line="240" w:lineRule="auto"/>
        <w:rPr>
          <w:rFonts w:eastAsia="Times New Roman" w:cs="Times New Roman"/>
          <w:szCs w:val="24"/>
        </w:rPr>
      </w:pPr>
    </w:p>
    <w:p w14:paraId="0BDC7F01" w14:textId="793F1C9A"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The trajectory of the hydrogen industry and associated private standards is similar to that of then-nascent technologies addressed by the NFPA, from electricity to sprinkler systems in the late 1800s. Indeed, Underwriters Laboratories, originally formed to help standardize and buttress private electrical safety standards, even has its own standards for hydrogen fuel cells.</w:t>
      </w:r>
      <w:r w:rsidR="008F0749">
        <w:rPr>
          <w:rStyle w:val="FootnoteReference"/>
          <w:rFonts w:eastAsia="Times New Roman" w:cs="Times New Roman"/>
          <w:color w:val="000000"/>
          <w:szCs w:val="24"/>
        </w:rPr>
        <w:footnoteReference w:id="132"/>
      </w:r>
      <w:r w:rsidRPr="00EC79E0">
        <w:rPr>
          <w:rFonts w:eastAsia="Times New Roman" w:cs="Times New Roman"/>
          <w:color w:val="000000"/>
          <w:szCs w:val="24"/>
        </w:rPr>
        <w:t xml:space="preserve"> As in the electricity and fire safety contexts, an emerging industry (in this case hydrogen) is endeavoring to persuade the public to adopt a new technology—including in the end-use residential context—and is reliant on plumbers and similar installers to ensure the widespread adoption of the technology. Competing or confusing standards for installation will cause delay and potential failure. And here, too, the emerging industry is, above all, attempting to persuade the public and insurers of the safety of its products, particularly given historic high-profile incidents such as the Hindenburg explosion. Although further study has revealed that the explosion was primarily caused by the flammable chemical coating on the zeppelin, the public often focuses on the hydrogen that fueled the flying machine.</w:t>
      </w:r>
      <w:r w:rsidR="008F0749">
        <w:rPr>
          <w:rStyle w:val="FootnoteReference"/>
          <w:rFonts w:eastAsia="Times New Roman" w:cs="Times New Roman"/>
          <w:color w:val="000000"/>
          <w:szCs w:val="24"/>
        </w:rPr>
        <w:footnoteReference w:id="133"/>
      </w:r>
      <w:r w:rsidRPr="00EC79E0">
        <w:rPr>
          <w:rFonts w:eastAsia="Times New Roman" w:cs="Times New Roman"/>
          <w:color w:val="000000"/>
          <w:szCs w:val="24"/>
        </w:rPr>
        <w:t>  </w:t>
      </w:r>
    </w:p>
    <w:p w14:paraId="25010AC7" w14:textId="77777777" w:rsidR="00924635" w:rsidRPr="00EC79E0" w:rsidRDefault="00924635" w:rsidP="00924635">
      <w:pPr>
        <w:spacing w:after="0" w:line="240" w:lineRule="auto"/>
        <w:rPr>
          <w:rFonts w:eastAsia="Times New Roman" w:cs="Times New Roman"/>
          <w:szCs w:val="24"/>
        </w:rPr>
      </w:pPr>
    </w:p>
    <w:p w14:paraId="34073DB9" w14:textId="1F17A429"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Beyond airships, some of the earliest U.S. uses of hydrogen were in the 1950s, when NASA began using hydrogen as a rocket fuel</w:t>
      </w:r>
      <w:r w:rsidR="008F0749">
        <w:rPr>
          <w:rFonts w:eastAsia="Times New Roman" w:cs="Times New Roman"/>
          <w:color w:val="000000"/>
          <w:szCs w:val="24"/>
        </w:rPr>
        <w:t>.</w:t>
      </w:r>
      <w:r w:rsidR="008F0749">
        <w:rPr>
          <w:rStyle w:val="FootnoteReference"/>
          <w:rFonts w:eastAsia="Times New Roman" w:cs="Times New Roman"/>
          <w:color w:val="000000"/>
          <w:szCs w:val="24"/>
        </w:rPr>
        <w:footnoteReference w:id="134"/>
      </w:r>
      <w:r w:rsidRPr="00EC79E0">
        <w:rPr>
          <w:rFonts w:eastAsia="Times New Roman" w:cs="Times New Roman"/>
          <w:color w:val="000000"/>
          <w:szCs w:val="24"/>
        </w:rPr>
        <w:t xml:space="preserve"> It appears, however, that the American Institute of Aeronautics and Astronautics did not develop formal standards until 2004.</w:t>
      </w:r>
      <w:r w:rsidR="008F0749">
        <w:rPr>
          <w:rStyle w:val="FootnoteReference"/>
          <w:rFonts w:eastAsia="Times New Roman" w:cs="Times New Roman"/>
          <w:color w:val="000000"/>
          <w:szCs w:val="24"/>
        </w:rPr>
        <w:footnoteReference w:id="135"/>
      </w:r>
      <w:r w:rsidRPr="00EC79E0">
        <w:rPr>
          <w:rFonts w:eastAsia="Times New Roman" w:cs="Times New Roman"/>
          <w:color w:val="000000"/>
          <w:szCs w:val="24"/>
        </w:rPr>
        <w:t xml:space="preserve"> Indeed, most U.S. hydrogen standards have only emerged in the past two decades, and many remain to be developed, as we discuss in this Part. Table 1 provides a summary and timeline of some of the key private standards in the hydrogen industry. </w:t>
      </w:r>
    </w:p>
    <w:p w14:paraId="14D7BC59" w14:textId="77777777" w:rsidR="00924635" w:rsidRPr="00EC79E0" w:rsidRDefault="00924635" w:rsidP="00924635">
      <w:pPr>
        <w:spacing w:after="0" w:line="240" w:lineRule="auto"/>
        <w:rPr>
          <w:rFonts w:eastAsia="Times New Roman" w:cs="Times New Roman"/>
          <w:szCs w:val="24"/>
        </w:rPr>
      </w:pPr>
    </w:p>
    <w:p w14:paraId="33616984" w14:textId="77777777" w:rsidR="00924635" w:rsidRPr="00EC79E0" w:rsidRDefault="00924635" w:rsidP="00924635">
      <w:pPr>
        <w:spacing w:after="0" w:line="240" w:lineRule="auto"/>
        <w:ind w:firstLine="720"/>
        <w:jc w:val="center"/>
        <w:rPr>
          <w:rFonts w:eastAsia="Times New Roman" w:cs="Times New Roman"/>
          <w:szCs w:val="24"/>
        </w:rPr>
      </w:pPr>
      <w:r w:rsidRPr="00EC79E0">
        <w:rPr>
          <w:rFonts w:eastAsia="Times New Roman" w:cs="Times New Roman"/>
          <w:color w:val="000000"/>
          <w:szCs w:val="24"/>
        </w:rPr>
        <w:t>Table 1. Examples of Major Hydrogen Industry Standards and Their Timelines </w:t>
      </w:r>
    </w:p>
    <w:p w14:paraId="3B19B5DC" w14:textId="77777777" w:rsidR="00924635" w:rsidRPr="00EC79E0" w:rsidRDefault="00924635" w:rsidP="00924635">
      <w:pPr>
        <w:spacing w:after="0" w:line="240" w:lineRule="auto"/>
        <w:ind w:firstLine="720"/>
        <w:jc w:val="center"/>
        <w:rPr>
          <w:rFonts w:eastAsia="Times New Roman" w:cs="Times New Roman"/>
          <w:szCs w:val="24"/>
        </w:rPr>
      </w:pPr>
      <w:r w:rsidRPr="00EC79E0">
        <w:rPr>
          <w:rFonts w:eastAsia="Times New Roman" w:cs="Times New Roman"/>
          <w:color w:val="000000"/>
          <w:szCs w:val="24"/>
        </w:rPr>
        <w:tab/>
        <w:t>(All table data from Fuel Cell Standards 2022.)</w:t>
      </w:r>
    </w:p>
    <w:p w14:paraId="646288A5" w14:textId="77777777" w:rsidR="00924635" w:rsidRPr="00EC79E0" w:rsidRDefault="00924635" w:rsidP="00924635">
      <w:pPr>
        <w:spacing w:after="0" w:line="240" w:lineRule="auto"/>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6"/>
        <w:gridCol w:w="2072"/>
        <w:gridCol w:w="3206"/>
      </w:tblGrid>
      <w:tr w:rsidR="00924635" w:rsidRPr="00EC79E0" w14:paraId="40E90215" w14:textId="77777777" w:rsidTr="009246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105F9"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b/>
                <w:bCs/>
                <w:color w:val="000000"/>
                <w:szCs w:val="24"/>
              </w:rPr>
              <w:lastRenderedPageBreak/>
              <w:t>Industry Area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EE7BE"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b/>
                <w:bCs/>
                <w:color w:val="000000"/>
                <w:szCs w:val="24"/>
              </w:rPr>
              <w:t>Standard-Writing Organization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D2609"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b/>
                <w:bCs/>
                <w:color w:val="000000"/>
                <w:szCs w:val="24"/>
              </w:rPr>
              <w:t>Timing of Initial Publication and Revision, If Any</w:t>
            </w:r>
          </w:p>
        </w:tc>
      </w:tr>
      <w:tr w:rsidR="00924635" w:rsidRPr="00EC79E0" w14:paraId="05AB6A5C" w14:textId="77777777" w:rsidTr="009246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1BF2A"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Hydrogen transportation tanks and storage vessels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F7870"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American Society of Mechanical Engineers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C33C9"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2004 (transportation tanks); 2010 (plastic pressure vessels). New rules being developed by Project Team on Hydrogen Tanks.</w:t>
            </w:r>
          </w:p>
        </w:tc>
      </w:tr>
      <w:tr w:rsidR="00924635" w:rsidRPr="00EC79E0" w14:paraId="040B5562" w14:textId="77777777" w:rsidTr="009246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BF1B6"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Sampling for pollutants in hydrogen fuel; screening hydrogen fuel cell quality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4A5FC"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Society of Automotive Engineers (fuel cells)</w:t>
            </w:r>
          </w:p>
          <w:p w14:paraId="6E30B0B3" w14:textId="77777777" w:rsidR="00924635" w:rsidRPr="00EC79E0" w:rsidRDefault="00924635" w:rsidP="00924635">
            <w:pPr>
              <w:spacing w:after="0" w:line="240" w:lineRule="auto"/>
              <w:rPr>
                <w:rFonts w:eastAsia="Times New Roman" w:cs="Times New Roman"/>
                <w:szCs w:val="24"/>
              </w:rPr>
            </w:pPr>
          </w:p>
          <w:p w14:paraId="5CF7C27B"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ASTM International (fuel)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CC17A"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2005; revised 2008 and 2011, reaffirmed 2015, published 2020</w:t>
            </w:r>
          </w:p>
          <w:p w14:paraId="40C7222A" w14:textId="77777777" w:rsidR="00924635" w:rsidRPr="00EC79E0" w:rsidRDefault="00924635" w:rsidP="00924635">
            <w:pPr>
              <w:spacing w:after="0" w:line="240" w:lineRule="auto"/>
              <w:rPr>
                <w:rFonts w:eastAsia="Times New Roman" w:cs="Times New Roman"/>
                <w:szCs w:val="24"/>
              </w:rPr>
            </w:pPr>
          </w:p>
          <w:p w14:paraId="32766B9E"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Some standards as early as 2010; subsequent updates and withdrawals through 2022. Some standards withdrawn because better sampling methods were identified; others withdrawn due to lack of activity.</w:t>
            </w:r>
          </w:p>
        </w:tc>
      </w:tr>
      <w:tr w:rsidR="00924635" w:rsidRPr="00EC79E0" w14:paraId="22A967A6" w14:textId="77777777" w:rsidTr="009246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740EE"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Hydrogen pipelines: design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2CA5E"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American Society of Mechanical Engineers </w:t>
            </w:r>
          </w:p>
          <w:p w14:paraId="0C7A652C" w14:textId="77777777" w:rsidR="00924635" w:rsidRPr="00EC79E0" w:rsidRDefault="00924635" w:rsidP="00924635">
            <w:pPr>
              <w:spacing w:after="0" w:line="240" w:lineRule="auto"/>
              <w:rPr>
                <w:rFonts w:eastAsia="Times New Roman" w:cs="Times New Roman"/>
                <w:szCs w:val="24"/>
              </w:rPr>
            </w:pPr>
          </w:p>
          <w:p w14:paraId="4E88078D"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Compressed Gas Association (international standards)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67966"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2007</w:t>
            </w:r>
          </w:p>
          <w:p w14:paraId="4EBC1B57" w14:textId="77777777" w:rsidR="00924635" w:rsidRPr="00EC79E0" w:rsidRDefault="00924635" w:rsidP="00924635">
            <w:pPr>
              <w:spacing w:after="240" w:line="240" w:lineRule="auto"/>
              <w:rPr>
                <w:rFonts w:eastAsia="Times New Roman" w:cs="Times New Roman"/>
                <w:szCs w:val="24"/>
              </w:rPr>
            </w:pPr>
          </w:p>
          <w:p w14:paraId="2171B7EB"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2005; 2013 reaffirmation </w:t>
            </w:r>
          </w:p>
        </w:tc>
      </w:tr>
      <w:tr w:rsidR="00924635" w:rsidRPr="00EC79E0" w14:paraId="20AC54EB" w14:textId="77777777" w:rsidTr="009246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A0466"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Hydrogen pipelines: materials, testing, operation, maintenance,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7A6A1"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American Society of Mechanical Engineers </w:t>
            </w:r>
          </w:p>
          <w:p w14:paraId="481045B4" w14:textId="77777777" w:rsidR="00924635" w:rsidRPr="00EC79E0" w:rsidRDefault="00924635" w:rsidP="00924635">
            <w:pPr>
              <w:spacing w:after="0" w:line="240" w:lineRule="auto"/>
              <w:rPr>
                <w:rFonts w:eastAsia="Times New Roman" w:cs="Times New Roman"/>
                <w:szCs w:val="24"/>
              </w:rPr>
            </w:pPr>
          </w:p>
          <w:p w14:paraId="334EF4B7"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Compressed Gas Association (international 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EE0A7"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2009; later editions in 2011, 2014, 2019 </w:t>
            </w:r>
          </w:p>
          <w:p w14:paraId="10CD4E26" w14:textId="77777777" w:rsidR="00924635" w:rsidRPr="00EC79E0" w:rsidRDefault="00924635" w:rsidP="00924635">
            <w:pPr>
              <w:spacing w:after="0" w:line="240" w:lineRule="auto"/>
              <w:rPr>
                <w:rFonts w:eastAsia="Times New Roman" w:cs="Times New Roman"/>
                <w:szCs w:val="24"/>
              </w:rPr>
            </w:pPr>
          </w:p>
          <w:p w14:paraId="2F3BB570"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2005; 2013 reaffirmation</w:t>
            </w:r>
          </w:p>
        </w:tc>
      </w:tr>
      <w:tr w:rsidR="00924635" w:rsidRPr="00EC79E0" w14:paraId="78F8D3F5" w14:textId="77777777" w:rsidTr="00924635">
        <w:trPr>
          <w:trHeight w:val="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27CF0"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Hydrogen vehicle fueling protocols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FB431"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Society of Automotive Engineers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08DB4"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2010 Technical Information Report; 2014 standard, revisions 2016 and 2020</w:t>
            </w:r>
          </w:p>
        </w:tc>
      </w:tr>
      <w:tr w:rsidR="00924635" w:rsidRPr="00EC79E0" w14:paraId="69DDDDC7" w14:textId="77777777" w:rsidTr="00924635">
        <w:trPr>
          <w:trHeight w:val="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8463A"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lastRenderedPageBreak/>
              <w:t>Hydrogen road vehicles and fueling equipment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B1DEC"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International Organization for Standardization </w:t>
            </w:r>
          </w:p>
          <w:p w14:paraId="7217D480" w14:textId="77777777" w:rsidR="00924635" w:rsidRPr="00EC79E0" w:rsidRDefault="00924635" w:rsidP="00924635">
            <w:pPr>
              <w:spacing w:after="240" w:line="240" w:lineRule="auto"/>
              <w:rPr>
                <w:rFonts w:eastAsia="Times New Roman" w:cs="Times New Roman"/>
                <w:szCs w:val="24"/>
              </w:rPr>
            </w:pPr>
            <w:r w:rsidRPr="00EC79E0">
              <w:rPr>
                <w:rFonts w:eastAsia="Times New Roman" w:cs="Times New Roman"/>
                <w:szCs w:val="24"/>
              </w:rPr>
              <w:br/>
            </w:r>
            <w:r w:rsidRPr="00EC79E0">
              <w:rPr>
                <w:rFonts w:eastAsia="Times New Roman" w:cs="Times New Roman"/>
                <w:szCs w:val="24"/>
              </w:rPr>
              <w:br/>
            </w:r>
          </w:p>
          <w:p w14:paraId="174036C0"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ANSI/CSA America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12E28"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2014; various reconfirmations and amendments for different components, other new publications 2016, 2017, and currently under development</w:t>
            </w:r>
          </w:p>
          <w:p w14:paraId="17D4762C" w14:textId="77777777" w:rsidR="00924635" w:rsidRPr="00EC79E0" w:rsidRDefault="00924635" w:rsidP="00924635">
            <w:pPr>
              <w:spacing w:after="0" w:line="240" w:lineRule="auto"/>
              <w:rPr>
                <w:rFonts w:eastAsia="Times New Roman" w:cs="Times New Roman"/>
                <w:szCs w:val="24"/>
              </w:rPr>
            </w:pPr>
          </w:p>
          <w:p w14:paraId="4CC62DF5"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2015; re-affirmed 2019</w:t>
            </w:r>
          </w:p>
        </w:tc>
      </w:tr>
      <w:tr w:rsidR="00924635" w:rsidRPr="00EC79E0" w14:paraId="136EADA3" w14:textId="77777777" w:rsidTr="00924635">
        <w:trPr>
          <w:trHeight w:val="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209F5"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Hydrogen vehicle fuel containers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50713"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ANSI/CSA America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D1C2D"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2014; re-affirmed 2019, second edition 2021 </w:t>
            </w:r>
          </w:p>
        </w:tc>
      </w:tr>
      <w:tr w:rsidR="00924635" w:rsidRPr="00EC79E0" w14:paraId="61948FD1" w14:textId="77777777" w:rsidTr="009246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7FE0A"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Hydrogen producers (“generators” of hydrogen)--electrolysis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9857A"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CSA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24381"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color w:val="000000"/>
                <w:szCs w:val="24"/>
              </w:rPr>
              <w:t>Under development starting in 2021–joint U.S.-Canadian effort </w:t>
            </w:r>
          </w:p>
        </w:tc>
      </w:tr>
    </w:tbl>
    <w:p w14:paraId="1B5E2A9B" w14:textId="77777777" w:rsidR="00924635" w:rsidRPr="00EC79E0" w:rsidRDefault="00924635" w:rsidP="00924635">
      <w:pPr>
        <w:spacing w:after="240" w:line="240" w:lineRule="auto"/>
        <w:rPr>
          <w:rFonts w:eastAsia="Times New Roman" w:cs="Times New Roman"/>
          <w:szCs w:val="24"/>
        </w:rPr>
      </w:pPr>
      <w:r w:rsidRPr="00EC79E0">
        <w:rPr>
          <w:rFonts w:eastAsia="Times New Roman" w:cs="Times New Roman"/>
          <w:szCs w:val="24"/>
        </w:rPr>
        <w:br/>
      </w:r>
    </w:p>
    <w:p w14:paraId="06954272" w14:textId="77777777"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Prior to this recent push for standards, one pioneering U.S. state attempted to jumpstart one component of the hydrogen economy—vehicles powered by hydrogen fuel cells, which in turn required hydrogen fueling stations. This effort, which occurred without the support of many public or private regulations, was largely a failure, producing lessons about why the more recent, second generation of more comprehensive hydrogen standards is likely critical to the attempted resurgence of a previously failed industry. Indeed, the current push for a hydrogen economy is far more ambitious than California’s 2005 initiative, demanding a suite of factors to support innovation—including better standards. We now turn to what might be learned from this cautionary tale about the risks to emerging industry from the lack of self-regulatory standard setting.</w:t>
      </w:r>
    </w:p>
    <w:p w14:paraId="2722C37E"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szCs w:val="24"/>
        </w:rPr>
        <w:br/>
      </w:r>
    </w:p>
    <w:p w14:paraId="7BB27576" w14:textId="77777777" w:rsidR="00924635" w:rsidRPr="00EC79E0" w:rsidRDefault="00924635" w:rsidP="00924635">
      <w:pPr>
        <w:pStyle w:val="ListParagraph"/>
        <w:numPr>
          <w:ilvl w:val="0"/>
          <w:numId w:val="12"/>
        </w:numPr>
        <w:spacing w:after="0" w:line="240" w:lineRule="auto"/>
        <w:jc w:val="both"/>
        <w:textAlignment w:val="baseline"/>
        <w:rPr>
          <w:rFonts w:eastAsia="Times New Roman" w:cs="Times New Roman"/>
          <w:color w:val="000000"/>
          <w:szCs w:val="24"/>
        </w:rPr>
      </w:pPr>
      <w:r w:rsidRPr="00EC79E0">
        <w:rPr>
          <w:rFonts w:eastAsia="Times New Roman" w:cs="Times New Roman"/>
          <w:color w:val="000000"/>
          <w:szCs w:val="24"/>
        </w:rPr>
        <w:t>California’s “Hydrogen Highway”: A Cautionary Tale?</w:t>
      </w:r>
    </w:p>
    <w:p w14:paraId="08513505" w14:textId="77777777" w:rsidR="00924635" w:rsidRPr="00EC79E0" w:rsidRDefault="00924635" w:rsidP="00924635">
      <w:pPr>
        <w:spacing w:after="0" w:line="240" w:lineRule="auto"/>
        <w:rPr>
          <w:rFonts w:eastAsia="Times New Roman" w:cs="Times New Roman"/>
          <w:szCs w:val="24"/>
        </w:rPr>
      </w:pPr>
    </w:p>
    <w:p w14:paraId="2E6BABC0" w14:textId="68A0A50F"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In 2005, Governor Arnold Schwarzenegger released a plan to scale up the use of hydrogen fuel cell vehicles in the state under California’s Zero Emission Vehicles regulation.</w:t>
      </w:r>
      <w:r w:rsidR="008F0749">
        <w:rPr>
          <w:rStyle w:val="FootnoteReference"/>
          <w:rFonts w:eastAsia="Times New Roman" w:cs="Times New Roman"/>
          <w:color w:val="000000"/>
          <w:szCs w:val="24"/>
        </w:rPr>
        <w:footnoteReference w:id="136"/>
      </w:r>
      <w:r w:rsidRPr="00EC79E0">
        <w:rPr>
          <w:rFonts w:eastAsia="Times New Roman" w:cs="Times New Roman"/>
          <w:color w:val="000000"/>
          <w:szCs w:val="24"/>
        </w:rPr>
        <w:t xml:space="preserve"> While this Hydrogen Highway plan focused on just one of the many potential uses of hydrogen, it is still possible to glean </w:t>
      </w:r>
      <w:r w:rsidRPr="00EC79E0">
        <w:rPr>
          <w:rFonts w:eastAsia="Times New Roman" w:cs="Times New Roman"/>
          <w:color w:val="000000"/>
          <w:szCs w:val="24"/>
        </w:rPr>
        <w:lastRenderedPageBreak/>
        <w:t>broader lessons from this experiment regarding the importance of self-regulation in the emerging hydrogen economy. Indeed, this case may well be a cautionary tale about trying to scale an innovative technology without well-developed self-regulatory governance frameworks in place.</w:t>
      </w:r>
    </w:p>
    <w:p w14:paraId="73A8C1A9" w14:textId="77777777" w:rsidR="00924635" w:rsidRPr="00EC79E0" w:rsidRDefault="00924635" w:rsidP="00924635">
      <w:pPr>
        <w:spacing w:after="0" w:line="240" w:lineRule="auto"/>
        <w:rPr>
          <w:rFonts w:eastAsia="Times New Roman" w:cs="Times New Roman"/>
          <w:szCs w:val="24"/>
        </w:rPr>
      </w:pPr>
    </w:p>
    <w:p w14:paraId="2C1A533A" w14:textId="1E5B6019"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The California Hydrogen Highway Blueprint was intended to proceed in several stages, combining public and private initiatives to build a network of hydrogen fueling stations and assist automobile manufacturers in developing models of cars with fuel cells. The first phase set a relatively meager target of 50-100 fueling stations and 1,200 fuel cell vehicles by 2010. The second phase greatly scaled up the ambition, calling for 250 hydrogen fueling stations and 10,000 predominantly fuel cell vehicles (it is possible, though less desirable, to burn hydrogen in modified internal combustion engines); phase three called for a doubling of the vehicle count to 20,000.</w:t>
      </w:r>
      <w:r w:rsidR="008F0749">
        <w:rPr>
          <w:rStyle w:val="FootnoteReference"/>
          <w:rFonts w:eastAsia="Times New Roman" w:cs="Times New Roman"/>
          <w:color w:val="000000"/>
          <w:szCs w:val="24"/>
        </w:rPr>
        <w:footnoteReference w:id="137"/>
      </w:r>
      <w:r w:rsidRPr="00EC79E0">
        <w:rPr>
          <w:rFonts w:eastAsia="Times New Roman" w:cs="Times New Roman"/>
          <w:color w:val="000000"/>
          <w:szCs w:val="24"/>
        </w:rPr>
        <w:t xml:space="preserve"> Years later, it is clear that almost none of this came about: Hydrogen fuel cell vehicles are now a “legacy zombie technology” linked in the popular imagination to a “bad bet by the state</w:t>
      </w:r>
      <w:r w:rsidR="008F0749">
        <w:rPr>
          <w:rFonts w:eastAsia="Times New Roman" w:cs="Times New Roman"/>
          <w:color w:val="000000"/>
          <w:szCs w:val="24"/>
        </w:rPr>
        <w:t>.”</w:t>
      </w:r>
      <w:r w:rsidR="008F0749">
        <w:rPr>
          <w:rStyle w:val="FootnoteReference"/>
          <w:rFonts w:eastAsia="Times New Roman" w:cs="Times New Roman"/>
          <w:color w:val="000000"/>
          <w:szCs w:val="24"/>
        </w:rPr>
        <w:footnoteReference w:id="138"/>
      </w:r>
      <w:r w:rsidR="008F0749">
        <w:rPr>
          <w:rFonts w:eastAsia="Times New Roman" w:cs="Times New Roman"/>
          <w:color w:val="000000"/>
          <w:szCs w:val="24"/>
        </w:rPr>
        <w:t xml:space="preserve"> </w:t>
      </w:r>
      <w:r w:rsidRPr="00EC79E0">
        <w:rPr>
          <w:rFonts w:eastAsia="Times New Roman" w:cs="Times New Roman"/>
          <w:color w:val="000000"/>
          <w:szCs w:val="24"/>
        </w:rPr>
        <w:t>The state has already spent $125 million on the program and fallen short of expectations, with just about 50 fueling stations and about 9,000 hydrogen-powered vehicles</w:t>
      </w:r>
      <w:r w:rsidR="008F0749">
        <w:rPr>
          <w:rFonts w:eastAsia="Times New Roman" w:cs="Times New Roman"/>
          <w:color w:val="000000"/>
          <w:szCs w:val="24"/>
        </w:rPr>
        <w:t>.</w:t>
      </w:r>
      <w:r w:rsidR="008F0749">
        <w:rPr>
          <w:rStyle w:val="FootnoteReference"/>
          <w:rFonts w:eastAsia="Times New Roman" w:cs="Times New Roman"/>
          <w:color w:val="000000"/>
          <w:szCs w:val="24"/>
        </w:rPr>
        <w:footnoteReference w:id="139"/>
      </w:r>
    </w:p>
    <w:p w14:paraId="08F7A207" w14:textId="77777777" w:rsidR="00924635" w:rsidRPr="00EC79E0" w:rsidRDefault="00924635" w:rsidP="00924635">
      <w:pPr>
        <w:spacing w:after="0" w:line="240" w:lineRule="auto"/>
        <w:rPr>
          <w:rFonts w:eastAsia="Times New Roman" w:cs="Times New Roman"/>
          <w:szCs w:val="24"/>
        </w:rPr>
      </w:pPr>
    </w:p>
    <w:p w14:paraId="1F0FA4BC" w14:textId="10B1AC82"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While some of the failures of the Hydrogen Highway can be attributed to the economics of the technology and the chicken-egg problem of building fueling infrastructure before there was consumer demand, at least some of the failure is likely also attributable to the infancy of the movement to develop standards at the time of the program’s rollout. Although the Blueprint document emphasized the need to jumpstart the process of developing codes and standards, this work was slow to catch on. It was not until 2014 that California adopted NFPA 2, which provides comprehensive standards for generating, handling, and storing liquid and gaseous hydrogen, in the California Fire Code and California Building Code (although, to be fair, NFPA 2 itself was not finalized until 2011).</w:t>
      </w:r>
      <w:r w:rsidR="008F0749">
        <w:rPr>
          <w:rStyle w:val="FootnoteReference"/>
          <w:rFonts w:eastAsia="Times New Roman" w:cs="Times New Roman"/>
          <w:color w:val="000000"/>
          <w:szCs w:val="24"/>
        </w:rPr>
        <w:footnoteReference w:id="140"/>
      </w:r>
      <w:r w:rsidRPr="00EC79E0">
        <w:rPr>
          <w:rFonts w:eastAsia="Times New Roman" w:cs="Times New Roman"/>
          <w:color w:val="000000"/>
          <w:szCs w:val="24"/>
        </w:rPr>
        <w:t xml:space="preserve"> Several of the most important standards for fuel cell vehicles, such as Society of Automotive Engineers J2719, on hydrogen fuel quality for fuel cell vehicles, and J2760, on pressure terminology used in fuel cells, did not come out until after 2011 as well. What this means, practically, is that the few fueling stations that did exist in the early stages of the Hydrogen Highway project had to pass through permitting processes by reinventing the wheel for each project rather than simply </w:t>
      </w:r>
      <w:r w:rsidRPr="00EC79E0">
        <w:rPr>
          <w:rFonts w:eastAsia="Times New Roman" w:cs="Times New Roman"/>
          <w:color w:val="000000"/>
          <w:szCs w:val="24"/>
        </w:rPr>
        <w:lastRenderedPageBreak/>
        <w:t>following standard industry practices that would guarantee success–a process that surely added cost and uncertainty to efforts to build stations. Moreover, because of this diversity of standards, it was possible for different stations to operate using different technologies and specifications–surely a challenge for workers constructing these stations and a headache for would-be hydrogen fuel cell vehicle owners who reportedly run into many problems with out-of-service stations.</w:t>
      </w:r>
      <w:r w:rsidR="008F0749">
        <w:rPr>
          <w:rStyle w:val="FootnoteReference"/>
          <w:rFonts w:eastAsia="Times New Roman" w:cs="Times New Roman"/>
          <w:color w:val="000000"/>
          <w:szCs w:val="24"/>
        </w:rPr>
        <w:footnoteReference w:id="141"/>
      </w:r>
      <w:r w:rsidRPr="00EC79E0">
        <w:rPr>
          <w:rFonts w:eastAsia="Times New Roman" w:cs="Times New Roman"/>
          <w:color w:val="000000"/>
          <w:szCs w:val="24"/>
        </w:rPr>
        <w:t xml:space="preserve"> This lack of standardization is analogous to the challenges faced early in the electricity and fire protection/prevention industries, when competing standards caused confusion for plumbers and electricians and failed to assure consumers of the efficacy and safety of what were then relatively new products. </w:t>
      </w:r>
    </w:p>
    <w:p w14:paraId="362F90FF"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r>
    </w:p>
    <w:p w14:paraId="59DA522A" w14:textId="12CA4AA8"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Whether the more developed codes and standards that exist today could reverse the fortunes of the California Hydrogen Highway program is an open question. Just last year, the California Energy Commission authorized $169 million in new funds to open up 111 public hydrogen fueling stations. Now, developers have a wealth of materials to assist them in streamlining projects, including NREL-funded YouTube videos, providing essential information on relevant codes and standards and the permitting process.</w:t>
      </w:r>
      <w:r w:rsidR="008F0749">
        <w:rPr>
          <w:rStyle w:val="FootnoteReference"/>
          <w:rFonts w:eastAsia="Times New Roman" w:cs="Times New Roman"/>
          <w:color w:val="000000"/>
          <w:szCs w:val="24"/>
        </w:rPr>
        <w:footnoteReference w:id="142"/>
      </w:r>
      <w:r w:rsidRPr="00EC79E0">
        <w:rPr>
          <w:rFonts w:eastAsia="Times New Roman" w:cs="Times New Roman"/>
          <w:color w:val="000000"/>
          <w:szCs w:val="24"/>
        </w:rPr>
        <w:t xml:space="preserve"> Still, it might be too late for the hydrogen automobile industry. Automakers have scaled back production of fuel cell vehicles in favor of battery-electric models, which seems to be taking hold as the dominant technology for light-duty vehicles.</w:t>
      </w:r>
      <w:r w:rsidR="008F0749">
        <w:rPr>
          <w:rStyle w:val="FootnoteReference"/>
          <w:rFonts w:eastAsia="Times New Roman" w:cs="Times New Roman"/>
          <w:color w:val="000000"/>
          <w:szCs w:val="24"/>
        </w:rPr>
        <w:footnoteReference w:id="143"/>
      </w:r>
      <w:r w:rsidRPr="00EC79E0">
        <w:rPr>
          <w:rFonts w:eastAsia="Times New Roman" w:cs="Times New Roman"/>
          <w:color w:val="000000"/>
          <w:szCs w:val="24"/>
        </w:rPr>
        <w:t xml:space="preserve"> Perhaps this trajectory would have been different had the standards been developed at the outset. Indeed, it is possible that with more standards in place now and the Clean Vehicle Credit in the Inflation Reduction Act incentivizing new purchases, hydrogen vehicles may still have a future in the United States.</w:t>
      </w:r>
      <w:bookmarkStart w:id="43" w:name="_Ref142251669"/>
      <w:r w:rsidR="008F0749">
        <w:rPr>
          <w:rStyle w:val="FootnoteReference"/>
          <w:rFonts w:eastAsia="Times New Roman" w:cs="Times New Roman"/>
          <w:color w:val="000000"/>
          <w:szCs w:val="24"/>
        </w:rPr>
        <w:footnoteReference w:id="144"/>
      </w:r>
      <w:bookmarkEnd w:id="43"/>
      <w:r w:rsidRPr="00EC79E0">
        <w:rPr>
          <w:rFonts w:eastAsia="Times New Roman" w:cs="Times New Roman"/>
          <w:color w:val="000000"/>
          <w:szCs w:val="24"/>
        </w:rPr>
        <w:t xml:space="preserve"> That is especially the case because, as we demonstrate in the next subsection, the movement to produce standards is no longer in its infancy.</w:t>
      </w:r>
    </w:p>
    <w:p w14:paraId="278EF2B2" w14:textId="77777777" w:rsidR="004348F6" w:rsidRPr="00EC79E0" w:rsidRDefault="004348F6" w:rsidP="004348F6">
      <w:pPr>
        <w:spacing w:after="0" w:line="240" w:lineRule="auto"/>
        <w:rPr>
          <w:rFonts w:eastAsia="Times New Roman" w:cs="Times New Roman"/>
          <w:szCs w:val="24"/>
        </w:rPr>
      </w:pPr>
    </w:p>
    <w:p w14:paraId="32015D8C" w14:textId="77777777" w:rsidR="00924635" w:rsidRPr="00EC79E0" w:rsidRDefault="00924635" w:rsidP="004348F6">
      <w:pPr>
        <w:pStyle w:val="ListParagraph"/>
        <w:numPr>
          <w:ilvl w:val="0"/>
          <w:numId w:val="12"/>
        </w:numPr>
        <w:spacing w:after="0" w:line="240" w:lineRule="auto"/>
        <w:rPr>
          <w:rFonts w:eastAsia="Times New Roman" w:cs="Times New Roman"/>
          <w:szCs w:val="24"/>
        </w:rPr>
      </w:pPr>
      <w:r w:rsidRPr="00EC79E0">
        <w:rPr>
          <w:rFonts w:eastAsia="Times New Roman" w:cs="Times New Roman"/>
          <w:color w:val="000000"/>
          <w:szCs w:val="24"/>
        </w:rPr>
        <w:t>The Second Generation of Hydrogen Standards: Competition, Coordination, and Certainty in the Midst of Regulatory Gaps </w:t>
      </w:r>
    </w:p>
    <w:p w14:paraId="796E9740" w14:textId="77777777" w:rsidR="00924635" w:rsidRPr="00EC79E0" w:rsidRDefault="00924635" w:rsidP="00924635">
      <w:pPr>
        <w:spacing w:after="0" w:line="240" w:lineRule="auto"/>
        <w:rPr>
          <w:rFonts w:eastAsia="Times New Roman" w:cs="Times New Roman"/>
          <w:szCs w:val="24"/>
        </w:rPr>
      </w:pPr>
    </w:p>
    <w:p w14:paraId="22AD78D3" w14:textId="0F26A938"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xml:space="preserve">The current global push for hydrogen is far more ambitious than California’s hydrogen vehicle efforts. Countries around the world are investing billions of dollars in an entire hydrogen economy, envisioning the production, transport, and distribution of hydrogen to support a variety of end </w:t>
      </w:r>
      <w:r w:rsidRPr="00EC79E0">
        <w:rPr>
          <w:rFonts w:eastAsia="Times New Roman" w:cs="Times New Roman"/>
          <w:color w:val="000000"/>
          <w:szCs w:val="24"/>
        </w:rPr>
        <w:lastRenderedPageBreak/>
        <w:t>uses in the residential, commercial, industrial, and energy storage sectors. Happily, an impressive suite of industry standards has emerged in the past decade (compare a compilation from 2011</w:t>
      </w:r>
      <w:r w:rsidR="008F0749">
        <w:rPr>
          <w:rStyle w:val="FootnoteReference"/>
          <w:rFonts w:eastAsia="Times New Roman" w:cs="Times New Roman"/>
          <w:color w:val="000000"/>
          <w:szCs w:val="24"/>
        </w:rPr>
        <w:footnoteReference w:id="145"/>
      </w:r>
      <w:r w:rsidRPr="00EC79E0">
        <w:rPr>
          <w:rFonts w:eastAsia="Times New Roman" w:cs="Times New Roman"/>
          <w:color w:val="000000"/>
          <w:szCs w:val="24"/>
        </w:rPr>
        <w:t xml:space="preserve"> to one contemplated just 7 years later in 2018,</w:t>
      </w:r>
      <w:r w:rsidR="008F0749">
        <w:rPr>
          <w:rStyle w:val="FootnoteReference"/>
          <w:rFonts w:eastAsia="Times New Roman" w:cs="Times New Roman"/>
          <w:color w:val="000000"/>
          <w:szCs w:val="24"/>
        </w:rPr>
        <w:footnoteReference w:id="146"/>
      </w:r>
      <w:r w:rsidRPr="00EC79E0">
        <w:rPr>
          <w:rFonts w:eastAsia="Times New Roman" w:cs="Times New Roman"/>
          <w:color w:val="000000"/>
          <w:szCs w:val="24"/>
        </w:rPr>
        <w:t xml:space="preserve"> suggesting potentially more hope for this round of attempted innovation. But much progress remains to be made, as explored here. </w:t>
      </w:r>
    </w:p>
    <w:p w14:paraId="7400F2D1" w14:textId="77777777" w:rsidR="00924635" w:rsidRPr="00EC79E0" w:rsidRDefault="00924635" w:rsidP="00924635">
      <w:pPr>
        <w:spacing w:after="0" w:line="240" w:lineRule="auto"/>
        <w:rPr>
          <w:rFonts w:eastAsia="Times New Roman" w:cs="Times New Roman"/>
          <w:szCs w:val="24"/>
        </w:rPr>
      </w:pPr>
    </w:p>
    <w:p w14:paraId="637036A8" w14:textId="38398E82"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In the United States, the effort to develop industry standards is increasingly a coordinated effort amongst SSOs. Members of the hydrogen industry from all portions of the supply chain have joined the Fuel Cell &amp; Hydrogen Energy Association, with a mission of “[p]</w:t>
      </w:r>
      <w:proofErr w:type="spellStart"/>
      <w:r w:rsidRPr="00EC79E0">
        <w:rPr>
          <w:rFonts w:eastAsia="Times New Roman" w:cs="Times New Roman"/>
          <w:color w:val="000000"/>
          <w:szCs w:val="24"/>
        </w:rPr>
        <w:t>roviding</w:t>
      </w:r>
      <w:proofErr w:type="spellEnd"/>
      <w:r w:rsidRPr="00EC79E0">
        <w:rPr>
          <w:rFonts w:eastAsia="Times New Roman" w:cs="Times New Roman"/>
          <w:color w:val="000000"/>
          <w:szCs w:val="24"/>
        </w:rPr>
        <w:t xml:space="preserve"> the industry a voice in shaping regulations, codes, and standards to enable commercial growth, while ensuring the highest levels of consumer safety and satisfaction,” among other purposes.</w:t>
      </w:r>
      <w:r w:rsidR="001203CA">
        <w:rPr>
          <w:rStyle w:val="FootnoteReference"/>
          <w:rFonts w:eastAsia="Times New Roman" w:cs="Times New Roman"/>
          <w:color w:val="000000"/>
          <w:szCs w:val="24"/>
        </w:rPr>
        <w:footnoteReference w:id="147"/>
      </w:r>
      <w:r w:rsidRPr="00EC79E0">
        <w:rPr>
          <w:rFonts w:eastAsia="Times New Roman" w:cs="Times New Roman"/>
          <w:color w:val="000000"/>
          <w:szCs w:val="24"/>
        </w:rPr>
        <w:t xml:space="preserve"> FCHEA works to draft some standards–particularly in the hydrogen sector–but is primarily concerned with educating private- and public-standard setting bodies about hydrogen developments and providing a centralized portal of all of the global hydrogen standards currently in place. One organization has begun to create a singular set of comprehensive guidelines and information–a document rising to “platinum” status in an industry that involves so many coordination challenges.</w:t>
      </w:r>
      <w:r w:rsidR="001203CA">
        <w:rPr>
          <w:rStyle w:val="FootnoteReference"/>
          <w:rFonts w:eastAsia="Times New Roman" w:cs="Times New Roman"/>
          <w:color w:val="000000"/>
          <w:szCs w:val="24"/>
        </w:rPr>
        <w:footnoteReference w:id="148"/>
      </w:r>
      <w:r w:rsidRPr="00EC79E0">
        <w:rPr>
          <w:rFonts w:eastAsia="Times New Roman" w:cs="Times New Roman"/>
          <w:color w:val="000000"/>
          <w:szCs w:val="24"/>
        </w:rPr>
        <w:t xml:space="preserve"> This coordination of standards may in part arise from the physical interconnectedness of the emergent hydrogen economy, requiring production facilities to be connected to storage, pipelines, distribution lines, and end users. </w:t>
      </w:r>
    </w:p>
    <w:p w14:paraId="62EDB940" w14:textId="77777777" w:rsidR="00924635" w:rsidRPr="00EC79E0" w:rsidRDefault="00924635" w:rsidP="00924635">
      <w:pPr>
        <w:spacing w:after="0" w:line="240" w:lineRule="auto"/>
        <w:rPr>
          <w:rFonts w:eastAsia="Times New Roman" w:cs="Times New Roman"/>
          <w:szCs w:val="24"/>
        </w:rPr>
      </w:pPr>
    </w:p>
    <w:p w14:paraId="54E8AD82" w14:textId="1D389ED6"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In the UK, an effort to convert the UK’s residential cooking and heating system from natural gas to hydrogen also has cooperative elements. All of the country’s gas distribution companies have joined in an effort to test and prove the safety of gas distribution and use in homes—a program somewhat similar to Merrill’s Underwriters Laboratories in the early U.S. electricity industry.</w:t>
      </w:r>
      <w:r w:rsidR="001203CA">
        <w:rPr>
          <w:rStyle w:val="FootnoteReference"/>
          <w:rFonts w:eastAsia="Times New Roman" w:cs="Times New Roman"/>
          <w:color w:val="000000"/>
          <w:szCs w:val="24"/>
        </w:rPr>
        <w:footnoteReference w:id="149"/>
      </w:r>
      <w:r w:rsidRPr="00EC79E0">
        <w:rPr>
          <w:rFonts w:eastAsia="Times New Roman" w:cs="Times New Roman"/>
          <w:color w:val="000000"/>
          <w:szCs w:val="24"/>
        </w:rPr>
        <w:t xml:space="preserve"> They are also testing public perceptions of hydrogen, engaging residents in interviews and deliberative workshops in order to better understand people’s understanding of hydrogen and its benefits and risks.</w:t>
      </w:r>
      <w:r w:rsidR="001203CA">
        <w:rPr>
          <w:rStyle w:val="FootnoteReference"/>
          <w:rFonts w:eastAsia="Times New Roman" w:cs="Times New Roman"/>
          <w:color w:val="000000"/>
          <w:szCs w:val="24"/>
        </w:rPr>
        <w:footnoteReference w:id="150"/>
      </w:r>
      <w:r w:rsidRPr="00EC79E0">
        <w:rPr>
          <w:rFonts w:eastAsia="Times New Roman" w:cs="Times New Roman"/>
          <w:color w:val="000000"/>
          <w:szCs w:val="24"/>
        </w:rPr>
        <w:t xml:space="preserve"> </w:t>
      </w:r>
      <w:r w:rsidRPr="00EC79E0">
        <w:rPr>
          <w:rFonts w:eastAsia="Times New Roman" w:cs="Times New Roman"/>
          <w:color w:val="000000"/>
          <w:szCs w:val="24"/>
        </w:rPr>
        <w:lastRenderedPageBreak/>
        <w:t>This consortium is now working to demonstrate the safety of hydrogen distribution and use in actual neighborhoods in London. </w:t>
      </w:r>
    </w:p>
    <w:p w14:paraId="7D552538" w14:textId="77777777" w:rsidR="00924635" w:rsidRPr="00EC79E0" w:rsidRDefault="00924635" w:rsidP="00924635">
      <w:pPr>
        <w:spacing w:after="0" w:line="240" w:lineRule="auto"/>
        <w:rPr>
          <w:rFonts w:eastAsia="Times New Roman" w:cs="Times New Roman"/>
          <w:szCs w:val="24"/>
        </w:rPr>
      </w:pPr>
    </w:p>
    <w:p w14:paraId="4681E31C" w14:textId="2D9975DE"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Interestingly, government entities also assist these coordinated standards development processes while still leaving the matter to SSOs. These efforts endeavor to “[</w:t>
      </w:r>
      <w:proofErr w:type="spellStart"/>
      <w:r w:rsidRPr="00EC79E0">
        <w:rPr>
          <w:rFonts w:eastAsia="Times New Roman" w:cs="Times New Roman"/>
          <w:color w:val="000000"/>
          <w:szCs w:val="24"/>
        </w:rPr>
        <w:t>i</w:t>
      </w:r>
      <w:proofErr w:type="spellEnd"/>
      <w:r w:rsidRPr="00EC79E0">
        <w:rPr>
          <w:rFonts w:eastAsia="Times New Roman" w:cs="Times New Roman"/>
          <w:color w:val="000000"/>
          <w:szCs w:val="24"/>
        </w:rPr>
        <w:t>]</w:t>
      </w:r>
      <w:proofErr w:type="spellStart"/>
      <w:r w:rsidRPr="00EC79E0">
        <w:rPr>
          <w:rFonts w:eastAsia="Times New Roman" w:cs="Times New Roman"/>
          <w:color w:val="000000"/>
          <w:szCs w:val="24"/>
        </w:rPr>
        <w:t>dentify</w:t>
      </w:r>
      <w:proofErr w:type="spellEnd"/>
      <w:r w:rsidRPr="00EC79E0">
        <w:rPr>
          <w:rFonts w:eastAsia="Times New Roman" w:cs="Times New Roman"/>
          <w:color w:val="000000"/>
          <w:szCs w:val="24"/>
        </w:rPr>
        <w:t xml:space="preserve"> regulators and agencies that need to be engaged by stakeholders for future systems” and “[</w:t>
      </w:r>
      <w:proofErr w:type="spellStart"/>
      <w:r w:rsidRPr="00EC79E0">
        <w:rPr>
          <w:rFonts w:eastAsia="Times New Roman" w:cs="Times New Roman"/>
          <w:color w:val="000000"/>
          <w:szCs w:val="24"/>
        </w:rPr>
        <w:t>i</w:t>
      </w:r>
      <w:proofErr w:type="spellEnd"/>
      <w:r w:rsidRPr="00EC79E0">
        <w:rPr>
          <w:rFonts w:eastAsia="Times New Roman" w:cs="Times New Roman"/>
          <w:color w:val="000000"/>
          <w:szCs w:val="24"/>
        </w:rPr>
        <w:t>]</w:t>
      </w:r>
      <w:proofErr w:type="spellStart"/>
      <w:r w:rsidRPr="00EC79E0">
        <w:rPr>
          <w:rFonts w:eastAsia="Times New Roman" w:cs="Times New Roman"/>
          <w:color w:val="000000"/>
          <w:szCs w:val="24"/>
        </w:rPr>
        <w:t>dentify</w:t>
      </w:r>
      <w:proofErr w:type="spellEnd"/>
      <w:r w:rsidRPr="00EC79E0">
        <w:rPr>
          <w:rFonts w:eastAsia="Times New Roman" w:cs="Times New Roman"/>
          <w:color w:val="000000"/>
          <w:szCs w:val="24"/>
        </w:rPr>
        <w:t xml:space="preserve"> limits of federal oversight (i.e., state/local jurisdiction rather than federal”).</w:t>
      </w:r>
      <w:r w:rsidR="001203CA">
        <w:rPr>
          <w:rStyle w:val="FootnoteReference"/>
          <w:rFonts w:eastAsia="Times New Roman" w:cs="Times New Roman"/>
          <w:color w:val="000000"/>
          <w:szCs w:val="24"/>
        </w:rPr>
        <w:footnoteReference w:id="151"/>
      </w:r>
      <w:r w:rsidRPr="00EC79E0">
        <w:rPr>
          <w:rFonts w:eastAsia="Times New Roman" w:cs="Times New Roman"/>
          <w:color w:val="000000"/>
          <w:szCs w:val="24"/>
        </w:rPr>
        <w:t xml:space="preserve"> We discuss these efforts below in the context of the theoretical factors connecting standards and innovation that we introduced in Part II.</w:t>
      </w:r>
    </w:p>
    <w:p w14:paraId="7FF2761F" w14:textId="77777777" w:rsidR="004348F6" w:rsidRPr="00EC79E0" w:rsidRDefault="004348F6" w:rsidP="004348F6">
      <w:pPr>
        <w:spacing w:after="0" w:line="240" w:lineRule="auto"/>
        <w:rPr>
          <w:rFonts w:eastAsia="Times New Roman" w:cs="Times New Roman"/>
          <w:szCs w:val="24"/>
        </w:rPr>
      </w:pPr>
    </w:p>
    <w:p w14:paraId="13AA7202" w14:textId="77777777" w:rsidR="00924635" w:rsidRPr="00EC79E0" w:rsidRDefault="00924635" w:rsidP="004348F6">
      <w:pPr>
        <w:pStyle w:val="ListParagraph"/>
        <w:numPr>
          <w:ilvl w:val="0"/>
          <w:numId w:val="12"/>
        </w:numPr>
        <w:spacing w:after="0" w:line="240" w:lineRule="auto"/>
        <w:rPr>
          <w:rFonts w:eastAsia="Times New Roman" w:cs="Times New Roman"/>
          <w:szCs w:val="24"/>
        </w:rPr>
      </w:pPr>
      <w:r w:rsidRPr="00EC79E0">
        <w:rPr>
          <w:rFonts w:eastAsia="Times New Roman" w:cs="Times New Roman"/>
          <w:color w:val="000000"/>
          <w:szCs w:val="24"/>
        </w:rPr>
        <w:t>The Benefits and Limitations of Self-Regulation in the Growth of Hydrogen </w:t>
      </w:r>
    </w:p>
    <w:p w14:paraId="0CE47C30" w14:textId="77777777" w:rsidR="00924635" w:rsidRPr="00EC79E0" w:rsidRDefault="00924635" w:rsidP="00924635">
      <w:pPr>
        <w:spacing w:after="0" w:line="240" w:lineRule="auto"/>
        <w:rPr>
          <w:rFonts w:eastAsia="Times New Roman" w:cs="Times New Roman"/>
          <w:szCs w:val="24"/>
        </w:rPr>
      </w:pPr>
    </w:p>
    <w:p w14:paraId="347CFF86"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The evolution of industry standards for hydrogen alongside the slow and sometimes halting growth of the industry itself provides important insights into the role of self-regulation in supporting or limiting an industry’s trajectory, as explored here. </w:t>
      </w:r>
    </w:p>
    <w:p w14:paraId="3A639976" w14:textId="1943B894" w:rsidR="00924635" w:rsidRPr="00EC79E0" w:rsidRDefault="00924635" w:rsidP="00924635">
      <w:pPr>
        <w:spacing w:after="0" w:line="240" w:lineRule="auto"/>
        <w:rPr>
          <w:rFonts w:eastAsia="Times New Roman" w:cs="Times New Roman"/>
          <w:szCs w:val="24"/>
        </w:rPr>
      </w:pPr>
    </w:p>
    <w:p w14:paraId="1A031F48" w14:textId="77777777" w:rsidR="00924635" w:rsidRPr="00EC79E0" w:rsidRDefault="00924635" w:rsidP="004348F6">
      <w:pPr>
        <w:pStyle w:val="ListParagraph"/>
        <w:numPr>
          <w:ilvl w:val="1"/>
          <w:numId w:val="12"/>
        </w:numPr>
        <w:spacing w:after="0" w:line="240" w:lineRule="auto"/>
        <w:jc w:val="both"/>
        <w:textAlignment w:val="baseline"/>
        <w:rPr>
          <w:rFonts w:eastAsia="Times New Roman" w:cs="Times New Roman"/>
          <w:color w:val="000000"/>
          <w:szCs w:val="24"/>
        </w:rPr>
      </w:pPr>
      <w:r w:rsidRPr="00EC79E0">
        <w:rPr>
          <w:rFonts w:eastAsia="Times New Roman" w:cs="Times New Roman"/>
          <w:color w:val="000000"/>
          <w:szCs w:val="24"/>
        </w:rPr>
        <w:t>Competition and Coordination in Hydrogen Standard Setting </w:t>
      </w:r>
    </w:p>
    <w:p w14:paraId="04D3D7B7" w14:textId="77777777" w:rsidR="00924635" w:rsidRPr="00EC79E0" w:rsidRDefault="00924635" w:rsidP="00924635">
      <w:pPr>
        <w:spacing w:after="0" w:line="240" w:lineRule="auto"/>
        <w:rPr>
          <w:rFonts w:eastAsia="Times New Roman" w:cs="Times New Roman"/>
          <w:szCs w:val="24"/>
        </w:rPr>
      </w:pPr>
    </w:p>
    <w:p w14:paraId="4E0730B1" w14:textId="4010E64A"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A well-populated set of standards has already emerged for an almost wholly theoretical hydrogen economy and is impressively varied–applying to most segments of the supply chain, ranging from production and storage to the safety of hydrogen in a variety of end uses, such as vehicles.</w:t>
      </w:r>
      <w:r w:rsidR="001203CA">
        <w:rPr>
          <w:rStyle w:val="FootnoteReference"/>
          <w:rFonts w:eastAsia="Times New Roman" w:cs="Times New Roman"/>
          <w:color w:val="000000"/>
          <w:szCs w:val="24"/>
        </w:rPr>
        <w:footnoteReference w:id="152"/>
      </w:r>
      <w:r w:rsidRPr="00EC79E0">
        <w:rPr>
          <w:rFonts w:eastAsia="Times New Roman" w:cs="Times New Roman"/>
          <w:color w:val="000000"/>
          <w:szCs w:val="24"/>
        </w:rPr>
        <w:t>  There are 393 standards published globally, and 15 under development in 2022, suggesting a relatively robust competition in standard setting.</w:t>
      </w:r>
      <w:r w:rsidR="001203CA">
        <w:rPr>
          <w:rStyle w:val="FootnoteReference"/>
          <w:rFonts w:eastAsia="Times New Roman" w:cs="Times New Roman"/>
          <w:color w:val="000000"/>
          <w:szCs w:val="24"/>
        </w:rPr>
        <w:footnoteReference w:id="153"/>
      </w:r>
      <w:r w:rsidRPr="00EC79E0">
        <w:rPr>
          <w:rFonts w:eastAsia="Times New Roman" w:cs="Times New Roman"/>
          <w:color w:val="000000"/>
          <w:szCs w:val="24"/>
        </w:rPr>
        <w:t xml:space="preserve"> This is further supported by the variety of organizations offering such standards, including competing substantive standards within the same regulatory space. Organizations that have published ten or more hydrogen standards include the American Society for Testing and Materials, American Society of Mechanical Engineers, Compressed Gas Association (CGA), CSA Group, International Electrotechnical Commission, and International Organization for Standardization, and many other organizations have produced smaller sets of standards within this space. </w:t>
      </w:r>
    </w:p>
    <w:p w14:paraId="04E3CC66" w14:textId="77777777" w:rsidR="00924635" w:rsidRPr="00EC79E0" w:rsidRDefault="00924635" w:rsidP="00924635">
      <w:pPr>
        <w:spacing w:after="0" w:line="240" w:lineRule="auto"/>
        <w:rPr>
          <w:rFonts w:eastAsia="Times New Roman" w:cs="Times New Roman"/>
          <w:szCs w:val="24"/>
        </w:rPr>
      </w:pPr>
    </w:p>
    <w:p w14:paraId="03BF2842" w14:textId="77777777" w:rsidR="00346DCF" w:rsidRDefault="00924635" w:rsidP="00924635">
      <w:pPr>
        <w:spacing w:after="0" w:line="240" w:lineRule="auto"/>
        <w:ind w:firstLine="720"/>
        <w:jc w:val="both"/>
        <w:rPr>
          <w:rFonts w:eastAsia="Times New Roman" w:cs="Times New Roman"/>
          <w:color w:val="000000"/>
          <w:szCs w:val="24"/>
        </w:rPr>
      </w:pPr>
      <w:r w:rsidRPr="00EC79E0">
        <w:rPr>
          <w:rFonts w:eastAsia="Times New Roman" w:cs="Times New Roman"/>
          <w:color w:val="000000"/>
          <w:szCs w:val="24"/>
        </w:rPr>
        <w:t xml:space="preserve">The following figure from the National Renewable Energy Laboratory shows the time-based trajectory of the key hydrogen standards for automobile fueling stations and how standards for the components of these stations (shown in the bottom row) developed as broader station-based </w:t>
      </w:r>
      <w:r w:rsidRPr="00EC79E0">
        <w:rPr>
          <w:rFonts w:eastAsia="Times New Roman" w:cs="Times New Roman"/>
          <w:color w:val="000000"/>
          <w:szCs w:val="24"/>
        </w:rPr>
        <w:lastRenderedPageBreak/>
        <w:t>standards simultaneously emerged. All-in-all, the many standards that have emerged to address what may ultimately be a U.S. hydrogen economy appear to be relatively complete, at least in terms of covering most aspects of the hydrogen economy. The National Renewable Energy Laboratory concluded as early as 2015 that private standards and government regulations “address all key aspects of system design, construction, operation, and maintenance” in the context of hydrogen fueling stations for vehicles.</w:t>
      </w:r>
      <w:r w:rsidR="00346DCF">
        <w:rPr>
          <w:rStyle w:val="FootnoteReference"/>
          <w:rFonts w:eastAsia="Times New Roman" w:cs="Times New Roman"/>
          <w:color w:val="000000"/>
          <w:szCs w:val="24"/>
        </w:rPr>
        <w:footnoteReference w:id="154"/>
      </w:r>
      <w:r w:rsidRPr="00EC79E0">
        <w:rPr>
          <w:rFonts w:eastAsia="Times New Roman" w:cs="Times New Roman"/>
          <w:color w:val="000000"/>
          <w:szCs w:val="24"/>
        </w:rPr>
        <w:t xml:space="preserve"> </w:t>
      </w:r>
    </w:p>
    <w:p w14:paraId="204FB0BC" w14:textId="77777777" w:rsidR="00346DCF" w:rsidRDefault="00346DCF" w:rsidP="00924635">
      <w:pPr>
        <w:spacing w:after="0" w:line="240" w:lineRule="auto"/>
        <w:ind w:firstLine="720"/>
        <w:jc w:val="both"/>
        <w:rPr>
          <w:rFonts w:eastAsia="Times New Roman" w:cs="Times New Roman"/>
          <w:color w:val="000000"/>
          <w:szCs w:val="24"/>
        </w:rPr>
      </w:pPr>
    </w:p>
    <w:p w14:paraId="32250D38" w14:textId="6C053F06"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Experts at Sandia National Laboratories, reviewing private standards and public regulations that apply the hydrogen economy, identify only seven areas—out of dozens—that are not “hydrogen ready” due to a lack of standards, although some of these areas are quite consequential. For example, experts surveying the standards and regulations note that there are no regulations authorizing hydrogen import or export terminals; no regulations addressing the sale or distribution of hydrogen to residences; and no testing requirements for furnaces, boilers, and similar residential heating systems that could run on hydrogen.</w:t>
      </w:r>
      <w:r w:rsidR="00346DCF">
        <w:rPr>
          <w:rStyle w:val="FootnoteReference"/>
          <w:rFonts w:eastAsia="Times New Roman" w:cs="Times New Roman"/>
          <w:color w:val="000000"/>
          <w:szCs w:val="24"/>
        </w:rPr>
        <w:footnoteReference w:id="155"/>
      </w:r>
      <w:r w:rsidRPr="00EC79E0">
        <w:rPr>
          <w:rFonts w:eastAsia="Times New Roman" w:cs="Times New Roman"/>
          <w:color w:val="000000"/>
          <w:szCs w:val="24"/>
        </w:rPr>
        <w:t xml:space="preserve"> Similarly, there is a need for more technical data as remaining gaps are filled. This appears to be happening organically. For instance, ASME formed a separate non-profit LLC to test the technical aspects of hydrogen and specifically inform the consensus process, noting that “[a] series of technical reports addressing hydrogen infrastructure applications directly resulted in new ASME code rules for pressure vessels, piping, and pipelines specific to hydrogen</w:t>
      </w:r>
      <w:r w:rsidR="00346DCF">
        <w:rPr>
          <w:rFonts w:eastAsia="Times New Roman" w:cs="Times New Roman"/>
          <w:color w:val="000000"/>
          <w:szCs w:val="24"/>
        </w:rPr>
        <w:t>.</w:t>
      </w:r>
      <w:r w:rsidRPr="00EC79E0">
        <w:rPr>
          <w:rFonts w:eastAsia="Times New Roman" w:cs="Times New Roman"/>
          <w:color w:val="000000"/>
          <w:szCs w:val="24"/>
        </w:rPr>
        <w:t>”</w:t>
      </w:r>
      <w:r w:rsidR="00346DCF">
        <w:rPr>
          <w:rStyle w:val="FootnoteReference"/>
          <w:rFonts w:eastAsia="Times New Roman" w:cs="Times New Roman"/>
          <w:color w:val="000000"/>
          <w:szCs w:val="24"/>
        </w:rPr>
        <w:footnoteReference w:id="156"/>
      </w:r>
      <w:r w:rsidRPr="00EC79E0">
        <w:rPr>
          <w:rFonts w:eastAsia="Times New Roman" w:cs="Times New Roman"/>
          <w:color w:val="000000"/>
          <w:szCs w:val="24"/>
        </w:rPr>
        <w:t xml:space="preserve"> These rules are particularly important as industry players contemplate how to retrofit existing natural gas pipelines so that they are appropriate for the transportation of hydrogen. </w:t>
      </w:r>
    </w:p>
    <w:p w14:paraId="5278DE9B" w14:textId="77777777" w:rsidR="00924635" w:rsidRPr="00EC79E0" w:rsidRDefault="00924635" w:rsidP="00924635">
      <w:pPr>
        <w:spacing w:after="240" w:line="240" w:lineRule="auto"/>
        <w:rPr>
          <w:rFonts w:eastAsia="Times New Roman" w:cs="Times New Roman"/>
          <w:szCs w:val="24"/>
        </w:rPr>
      </w:pPr>
    </w:p>
    <w:p w14:paraId="0200C22B" w14:textId="77777777" w:rsidR="00924635" w:rsidRPr="00EC79E0" w:rsidRDefault="00924635" w:rsidP="00924635">
      <w:pPr>
        <w:spacing w:after="0" w:line="240" w:lineRule="auto"/>
        <w:jc w:val="center"/>
        <w:rPr>
          <w:rFonts w:eastAsia="Times New Roman" w:cs="Times New Roman"/>
          <w:szCs w:val="24"/>
        </w:rPr>
      </w:pPr>
      <w:r w:rsidRPr="00EC79E0">
        <w:rPr>
          <w:rFonts w:eastAsia="Times New Roman" w:cs="Times New Roman"/>
          <w:b/>
          <w:bCs/>
          <w:color w:val="000000"/>
          <w:szCs w:val="24"/>
        </w:rPr>
        <w:t>Timeline of codes and standards development and the codes and standards hierarchy (Rivkin et al. 2015).</w:t>
      </w:r>
    </w:p>
    <w:p w14:paraId="7225A7A3"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noProof/>
          <w:color w:val="000000"/>
          <w:szCs w:val="24"/>
          <w:bdr w:val="none" w:sz="0" w:space="0" w:color="auto" w:frame="1"/>
        </w:rPr>
        <w:drawing>
          <wp:inline distT="0" distB="0" distL="0" distR="0" wp14:anchorId="6385A35C" wp14:editId="18D8EF8B">
            <wp:extent cx="5943600" cy="1828800"/>
            <wp:effectExtent l="0" t="0" r="0" b="0"/>
            <wp:docPr id="1" name="Picture 1" descr="https://lh3.googleusercontent.com/D9CfDsy4cEHQ1zDNvOozNLEkiXgJK0eFIcU62RGQocL4115aYlNSuQsq8zZrnVP7Rjq2_LmWu8sZkDMscAcJeH_pP1UJoXh2WRXpDAkrzjaZuGFTpyILAhA-0IS_mydvL9qoP9Xd9wUtWBroKyu7yAJYy9Pofjs50UFUiPx91F4Mqh2t78ZZVj2wFrl38dRkpwor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9CfDsy4cEHQ1zDNvOozNLEkiXgJK0eFIcU62RGQocL4115aYlNSuQsq8zZrnVP7Rjq2_LmWu8sZkDMscAcJeH_pP1UJoXh2WRXpDAkrzjaZuGFTpyILAhA-0IS_mydvL9qoP9Xd9wUtWBroKyu7yAJYy9Pofjs50UFUiPx91F4Mqh2t78ZZVj2wFrl38dRkpworx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299D0504" w14:textId="77777777" w:rsidR="00924635" w:rsidRPr="00EC79E0" w:rsidRDefault="00924635" w:rsidP="00924635">
      <w:pPr>
        <w:spacing w:after="0" w:line="240" w:lineRule="auto"/>
        <w:rPr>
          <w:rFonts w:eastAsia="Times New Roman" w:cs="Times New Roman"/>
          <w:szCs w:val="24"/>
        </w:rPr>
      </w:pPr>
    </w:p>
    <w:p w14:paraId="07D62B1F" w14:textId="0DBD12C3"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lastRenderedPageBreak/>
        <w:t>As the remaining gaps become smaller, we are seeing a turn to intra-standard competition. That is, private standards-setting organizations are even addressing flaws that they see in other standards. For example, the CGA officially expressed concerns that some NFPA rules for the setback of hydrogen storage tanks from nearby infrastructure were “unclear</w:t>
      </w:r>
      <w:r w:rsidR="00346DCF">
        <w:rPr>
          <w:rFonts w:eastAsia="Times New Roman" w:cs="Times New Roman"/>
          <w:color w:val="000000"/>
          <w:szCs w:val="24"/>
        </w:rPr>
        <w:t>.</w:t>
      </w:r>
      <w:r w:rsidRPr="00EC79E0">
        <w:rPr>
          <w:rFonts w:eastAsia="Times New Roman" w:cs="Times New Roman"/>
          <w:color w:val="000000"/>
          <w:szCs w:val="24"/>
        </w:rPr>
        <w:t>”</w:t>
      </w:r>
      <w:r w:rsidR="00346DCF">
        <w:rPr>
          <w:rStyle w:val="FootnoteReference"/>
          <w:rFonts w:eastAsia="Times New Roman" w:cs="Times New Roman"/>
          <w:color w:val="000000"/>
          <w:szCs w:val="24"/>
        </w:rPr>
        <w:footnoteReference w:id="157"/>
      </w:r>
      <w:r w:rsidRPr="00EC79E0">
        <w:rPr>
          <w:rFonts w:eastAsia="Times New Roman" w:cs="Times New Roman"/>
          <w:color w:val="000000"/>
          <w:szCs w:val="24"/>
        </w:rPr>
        <w:t xml:space="preserve"> CGA accordingly published a Position Statement that it asked hydrogen storage tank installers to follow and asked the NFPA to clarify “unclear separation distances” between hydrogen storage tanks and other infrastructure</w:t>
      </w:r>
      <w:r w:rsidR="00346DCF">
        <w:rPr>
          <w:rFonts w:eastAsia="Times New Roman" w:cs="Times New Roman"/>
          <w:color w:val="000000"/>
          <w:szCs w:val="24"/>
        </w:rPr>
        <w:t>.</w:t>
      </w:r>
      <w:r w:rsidR="00346DCF">
        <w:rPr>
          <w:rStyle w:val="FootnoteReference"/>
          <w:rFonts w:eastAsia="Times New Roman" w:cs="Times New Roman"/>
          <w:color w:val="000000"/>
          <w:szCs w:val="24"/>
        </w:rPr>
        <w:footnoteReference w:id="158"/>
      </w:r>
      <w:r w:rsidR="00346DCF">
        <w:rPr>
          <w:rFonts w:eastAsia="Times New Roman" w:cs="Times New Roman"/>
          <w:color w:val="000000"/>
          <w:szCs w:val="24"/>
        </w:rPr>
        <w:t xml:space="preserve"> </w:t>
      </w:r>
      <w:r w:rsidRPr="00EC79E0">
        <w:rPr>
          <w:rFonts w:eastAsia="Times New Roman" w:cs="Times New Roman"/>
          <w:color w:val="000000"/>
          <w:szCs w:val="24"/>
        </w:rPr>
        <w:t>NFPA did amend its separation distance requirements in 2016, although it is not clear whether this was in direct response to CGA’s request. Rather, as early as 2010 NFPA has begun to reconsider the required distances between hydrogen storage tanks and other infrastructure and humans to base its standards more clearly on risk factors, such as the type and probability of hydrogen exposure rather than solely the total volume of hydrogen stored in the tank. NFPA built upon</w:t>
      </w:r>
      <w:r w:rsidR="006754F8">
        <w:rPr>
          <w:rFonts w:eastAsia="Times New Roman" w:cs="Times New Roman"/>
          <w:color w:val="000000"/>
          <w:szCs w:val="24"/>
        </w:rPr>
        <w:t xml:space="preserve"> </w:t>
      </w:r>
      <w:r w:rsidRPr="00EC79E0">
        <w:rPr>
          <w:rFonts w:eastAsia="Times New Roman" w:cs="Times New Roman"/>
          <w:color w:val="000000"/>
          <w:szCs w:val="24"/>
        </w:rPr>
        <w:t xml:space="preserve">government (Sandia Lab)-developed hydrogen models and updated the standards in 2010 and again in </w:t>
      </w:r>
      <w:r w:rsidR="00346DCF">
        <w:rPr>
          <w:rFonts w:eastAsia="Times New Roman" w:cs="Times New Roman"/>
          <w:color w:val="000000"/>
          <w:szCs w:val="24"/>
        </w:rPr>
        <w:t>2016.</w:t>
      </w:r>
      <w:r w:rsidR="00346DCF">
        <w:rPr>
          <w:rStyle w:val="FootnoteReference"/>
          <w:rFonts w:eastAsia="Times New Roman" w:cs="Times New Roman"/>
          <w:color w:val="000000"/>
          <w:szCs w:val="24"/>
        </w:rPr>
        <w:footnoteReference w:id="159"/>
      </w:r>
      <w:r w:rsidRPr="00EC79E0">
        <w:rPr>
          <w:rFonts w:eastAsia="Times New Roman" w:cs="Times New Roman"/>
          <w:color w:val="000000"/>
          <w:szCs w:val="24"/>
        </w:rPr>
        <w:t> </w:t>
      </w:r>
    </w:p>
    <w:p w14:paraId="3E40EE5F" w14:textId="77777777" w:rsidR="00924635" w:rsidRPr="00EC79E0" w:rsidRDefault="00924635" w:rsidP="00924635">
      <w:pPr>
        <w:spacing w:after="0" w:line="240" w:lineRule="auto"/>
        <w:rPr>
          <w:rFonts w:eastAsia="Times New Roman" w:cs="Times New Roman"/>
          <w:szCs w:val="24"/>
        </w:rPr>
      </w:pPr>
    </w:p>
    <w:p w14:paraId="5C058F7F" w14:textId="77777777"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In short, while there are still holes to be filled, the self-regulatory framework for hydrogen is quite robust, and certainly much more so than in the 2000s with California’s failed “Hydrogen Highway” experiment. Most major issues now have at least some degree of standardization from at least some SSO, resulting in a veritable quilt of self-regulation. While this state of affairs is preferable to ten years ago, it also points the way to new challenges of coordination and competition, and the balance between the two. Self-regulation in the hydrogen economy appears to be poised to turn to a period of refinement, competition, and experimentation to improve the existing suite of standards.</w:t>
      </w:r>
    </w:p>
    <w:p w14:paraId="5C5EE4EF" w14:textId="77777777" w:rsidR="00924635" w:rsidRPr="00EC79E0" w:rsidRDefault="00924635" w:rsidP="00924635">
      <w:pPr>
        <w:spacing w:after="0" w:line="240" w:lineRule="auto"/>
        <w:rPr>
          <w:rFonts w:eastAsia="Times New Roman" w:cs="Times New Roman"/>
          <w:szCs w:val="24"/>
        </w:rPr>
      </w:pPr>
    </w:p>
    <w:p w14:paraId="3F8190F2" w14:textId="77777777" w:rsidR="00924635" w:rsidRPr="00EC79E0" w:rsidRDefault="00924635" w:rsidP="00924635">
      <w:pPr>
        <w:numPr>
          <w:ilvl w:val="0"/>
          <w:numId w:val="17"/>
        </w:numPr>
        <w:spacing w:after="0" w:line="240" w:lineRule="auto"/>
        <w:ind w:left="2160"/>
        <w:jc w:val="both"/>
        <w:textAlignment w:val="baseline"/>
        <w:rPr>
          <w:rFonts w:eastAsia="Times New Roman" w:cs="Times New Roman"/>
          <w:color w:val="000000"/>
          <w:szCs w:val="24"/>
        </w:rPr>
      </w:pPr>
      <w:r w:rsidRPr="00EC79E0">
        <w:rPr>
          <w:rFonts w:eastAsia="Times New Roman" w:cs="Times New Roman"/>
          <w:color w:val="000000"/>
          <w:szCs w:val="24"/>
        </w:rPr>
        <w:t>Simultaneous Production and Coordination of Standards Within a Vast Hydrogen Supply Chain: The Case for Active Coordination </w:t>
      </w:r>
    </w:p>
    <w:p w14:paraId="68A271DF" w14:textId="77777777" w:rsidR="00924635" w:rsidRPr="00EC79E0" w:rsidRDefault="00924635" w:rsidP="00924635">
      <w:pPr>
        <w:spacing w:after="0" w:line="240" w:lineRule="auto"/>
        <w:rPr>
          <w:rFonts w:eastAsia="Times New Roman" w:cs="Times New Roman"/>
          <w:szCs w:val="24"/>
        </w:rPr>
      </w:pPr>
    </w:p>
    <w:p w14:paraId="3AF76FAC"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 xml:space="preserve">Although letting one thousand flowers bloom in the standard setting context has produced relatively complete standards, new challenges are now emerging. A patchwork of competing standards can be confusing and expensive to comply with, among many other challenges. The “black start” of a highly-networked economy from ground zero—requiring the </w:t>
      </w:r>
      <w:r w:rsidRPr="00EC79E0">
        <w:rPr>
          <w:rFonts w:eastAsia="Times New Roman" w:cs="Times New Roman"/>
          <w:color w:val="000000"/>
          <w:szCs w:val="24"/>
        </w:rPr>
        <w:lastRenderedPageBreak/>
        <w:t>simultaneous development of production, transportation infrastructure, and end uses—is a situation that desperately calls for the development of a comprehensive set of standards at multiple points of the supply chain. In the context of hydrogen, producers, storage companies, pipeline and distribution line builders, owners, and operators, and end users all need minimum safety standards to begin operating, and few parts of the industry will function very effectively if the other parts are not up and running. </w:t>
      </w:r>
    </w:p>
    <w:p w14:paraId="4183F665" w14:textId="77777777" w:rsidR="00924635" w:rsidRPr="00EC79E0" w:rsidRDefault="00924635" w:rsidP="00924635">
      <w:pPr>
        <w:spacing w:after="0" w:line="240" w:lineRule="auto"/>
        <w:rPr>
          <w:rFonts w:eastAsia="Times New Roman" w:cs="Times New Roman"/>
          <w:szCs w:val="24"/>
        </w:rPr>
      </w:pPr>
    </w:p>
    <w:p w14:paraId="7E906385" w14:textId="508320AC"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xml:space="preserve">In short, there does seem to be a pressing need for more top-down coordination of hydrogen’s well-populated self-regulatory ecosystem. Interestingly, some of the law firms most active in the hydrogen space assume that </w:t>
      </w:r>
      <w:r w:rsidRPr="00EC79E0">
        <w:rPr>
          <w:rFonts w:eastAsia="Times New Roman" w:cs="Times New Roman"/>
          <w:i/>
          <w:iCs/>
          <w:color w:val="000000"/>
          <w:szCs w:val="24"/>
        </w:rPr>
        <w:t xml:space="preserve">government </w:t>
      </w:r>
      <w:r w:rsidRPr="00EC79E0">
        <w:rPr>
          <w:rFonts w:eastAsia="Times New Roman" w:cs="Times New Roman"/>
          <w:color w:val="000000"/>
          <w:szCs w:val="24"/>
        </w:rPr>
        <w:t>will have to produce a relatively comprehensive set of standards, arguing that “[t]he federal government will need to incorporate hydrogen into its broader regulatory scheme for hydrogen to truly become part of the energy infrastructure in the U.S.”</w:t>
      </w:r>
      <w:r w:rsidR="00346DCF">
        <w:rPr>
          <w:rStyle w:val="FootnoteReference"/>
          <w:rFonts w:eastAsia="Times New Roman" w:cs="Times New Roman"/>
          <w:color w:val="000000"/>
          <w:szCs w:val="24"/>
        </w:rPr>
        <w:footnoteReference w:id="160"/>
      </w:r>
      <w:r w:rsidRPr="00EC79E0">
        <w:rPr>
          <w:rFonts w:eastAsia="Times New Roman" w:cs="Times New Roman"/>
          <w:color w:val="000000"/>
          <w:szCs w:val="24"/>
        </w:rPr>
        <w:t xml:space="preserve"> And indeed, government is playing a critical, albeit merely facilitative, role in the development of a coordinated U.S. hydrogen economy by working hand-in-hand with SSOs.  An abundance of relatively uncoordinated standards, paired with some standards-based gaps, is a particular threat for hydrogen, given its potentially expansive use in the residential setting for cooking, heating, and backup generation.  As the DOE notes, there are 44,000 local jurisdictions in the United States, all of which have their own building codes</w:t>
      </w:r>
      <w:r w:rsidR="00346DCF">
        <w:rPr>
          <w:rFonts w:eastAsia="Times New Roman" w:cs="Times New Roman"/>
          <w:color w:val="000000"/>
          <w:szCs w:val="24"/>
        </w:rPr>
        <w:t>.</w:t>
      </w:r>
      <w:r w:rsidR="00346DCF">
        <w:rPr>
          <w:rStyle w:val="FootnoteReference"/>
          <w:rFonts w:eastAsia="Times New Roman" w:cs="Times New Roman"/>
          <w:color w:val="000000"/>
          <w:szCs w:val="24"/>
        </w:rPr>
        <w:footnoteReference w:id="161"/>
      </w:r>
      <w:r w:rsidR="00346DCF">
        <w:rPr>
          <w:rFonts w:eastAsia="Times New Roman" w:cs="Times New Roman"/>
          <w:color w:val="000000"/>
          <w:szCs w:val="24"/>
        </w:rPr>
        <w:t xml:space="preserve"> </w:t>
      </w:r>
      <w:r w:rsidRPr="00EC79E0">
        <w:rPr>
          <w:rFonts w:eastAsia="Times New Roman" w:cs="Times New Roman"/>
          <w:color w:val="000000"/>
          <w:szCs w:val="24"/>
        </w:rPr>
        <w:t>Many states provide a uniform building code (comprising primarily private standards incorporated by reference) that local governments adopt, but local governments are not always required to follow this standardized approach. The DOE is working with private standards-development organizations to attempt to coordinate the plethora of disparate building code standards that could potentially apply to residential hydrogen uses</w:t>
      </w:r>
      <w:r w:rsidR="00346DCF">
        <w:rPr>
          <w:rFonts w:eastAsia="Times New Roman" w:cs="Times New Roman"/>
          <w:color w:val="000000"/>
          <w:szCs w:val="24"/>
        </w:rPr>
        <w:t>.</w:t>
      </w:r>
      <w:r w:rsidR="00346DCF">
        <w:rPr>
          <w:rStyle w:val="FootnoteReference"/>
          <w:rFonts w:eastAsia="Times New Roman" w:cs="Times New Roman"/>
          <w:color w:val="000000"/>
          <w:szCs w:val="24"/>
        </w:rPr>
        <w:footnoteReference w:id="162"/>
      </w:r>
    </w:p>
    <w:p w14:paraId="0446D590" w14:textId="77777777" w:rsidR="00924635" w:rsidRPr="00EC79E0" w:rsidRDefault="00924635" w:rsidP="00924635">
      <w:pPr>
        <w:spacing w:after="0" w:line="240" w:lineRule="auto"/>
        <w:rPr>
          <w:rFonts w:eastAsia="Times New Roman" w:cs="Times New Roman"/>
          <w:szCs w:val="24"/>
        </w:rPr>
      </w:pPr>
    </w:p>
    <w:p w14:paraId="2C7BACB0" w14:textId="67EA95C6"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As part of its effort to speed up and help coordinate the development of comprehensive, navigable standards for hydrogen, the DOE is also working to identify “gaps in the standards development process and provide methods to close the gaps,” “[p]</w:t>
      </w:r>
      <w:proofErr w:type="spellStart"/>
      <w:r w:rsidRPr="00EC79E0">
        <w:rPr>
          <w:rFonts w:eastAsia="Times New Roman" w:cs="Times New Roman"/>
          <w:color w:val="000000"/>
          <w:szCs w:val="24"/>
        </w:rPr>
        <w:t>roviding</w:t>
      </w:r>
      <w:proofErr w:type="spellEnd"/>
      <w:r w:rsidRPr="00EC79E0">
        <w:rPr>
          <w:rFonts w:eastAsia="Times New Roman" w:cs="Times New Roman"/>
          <w:color w:val="000000"/>
          <w:szCs w:val="24"/>
        </w:rPr>
        <w:t xml:space="preserve"> support for key international standards meetings,” supporting research and development efforts that provide the data needed to develop effective standards, and “[s]</w:t>
      </w:r>
      <w:proofErr w:type="spellStart"/>
      <w:r w:rsidRPr="00EC79E0">
        <w:rPr>
          <w:rFonts w:eastAsia="Times New Roman" w:cs="Times New Roman"/>
          <w:color w:val="000000"/>
          <w:szCs w:val="24"/>
        </w:rPr>
        <w:t>upporting</w:t>
      </w:r>
      <w:proofErr w:type="spellEnd"/>
      <w:r w:rsidRPr="00EC79E0">
        <w:rPr>
          <w:rFonts w:eastAsia="Times New Roman" w:cs="Times New Roman"/>
          <w:color w:val="000000"/>
          <w:szCs w:val="24"/>
        </w:rPr>
        <w:t xml:space="preserve"> the codes and standards adoption process,” among other coordinating activities.</w:t>
      </w:r>
      <w:r w:rsidR="00346DCF">
        <w:rPr>
          <w:rStyle w:val="FootnoteReference"/>
          <w:rFonts w:eastAsia="Times New Roman" w:cs="Times New Roman"/>
          <w:color w:val="000000"/>
          <w:szCs w:val="24"/>
        </w:rPr>
        <w:footnoteReference w:id="163"/>
      </w:r>
      <w:r w:rsidRPr="00EC79E0">
        <w:rPr>
          <w:rFonts w:eastAsia="Times New Roman" w:cs="Times New Roman"/>
          <w:color w:val="000000"/>
          <w:szCs w:val="24"/>
        </w:rPr>
        <w:t xml:space="preserve"> The DOE and its subunits are also endeavoring to ease industry compliance with a complex set of regulations that apply to numerous aspects of the supply chain,</w:t>
      </w:r>
      <w:r w:rsidRPr="00EC79E0">
        <w:rPr>
          <w:rFonts w:eastAsia="Times New Roman" w:cs="Times New Roman"/>
          <w:color w:val="000000"/>
          <w:szCs w:val="24"/>
          <w:shd w:val="clear" w:color="auto" w:fill="FFFFFF"/>
        </w:rPr>
        <w:t xml:space="preserve"> producing videos and literature on how to permit a </w:t>
      </w:r>
      <w:r w:rsidRPr="00EC79E0">
        <w:rPr>
          <w:rFonts w:eastAsia="Times New Roman" w:cs="Times New Roman"/>
          <w:color w:val="000000"/>
          <w:szCs w:val="24"/>
          <w:shd w:val="clear" w:color="auto" w:fill="FFFFFF"/>
        </w:rPr>
        <w:lastRenderedPageBreak/>
        <w:t>hydrogen fueling station; charts that map out public and private hydrogen standards; checklists and permitting guides; trainings of code officials who review compliance with hydrogen requirements; and regular trainings on emerging hydrogen technologies and hub opportunities, the content of hydrogen standards, and status of newly developed standards</w:t>
      </w:r>
      <w:r w:rsidR="00346DCF">
        <w:rPr>
          <w:rFonts w:eastAsia="Times New Roman" w:cs="Times New Roman"/>
          <w:color w:val="000000"/>
          <w:szCs w:val="24"/>
          <w:shd w:val="clear" w:color="auto" w:fill="FFFFFF"/>
        </w:rPr>
        <w:t>.</w:t>
      </w:r>
      <w:r w:rsidR="00346DCF">
        <w:rPr>
          <w:rStyle w:val="FootnoteReference"/>
          <w:rFonts w:eastAsia="Times New Roman" w:cs="Times New Roman"/>
          <w:color w:val="000000"/>
          <w:szCs w:val="24"/>
          <w:shd w:val="clear" w:color="auto" w:fill="FFFFFF"/>
        </w:rPr>
        <w:footnoteReference w:id="164"/>
      </w:r>
    </w:p>
    <w:p w14:paraId="1F9C9855" w14:textId="77777777" w:rsidR="00924635" w:rsidRPr="00EC79E0" w:rsidRDefault="00924635" w:rsidP="00924635">
      <w:pPr>
        <w:spacing w:after="0" w:line="240" w:lineRule="auto"/>
        <w:rPr>
          <w:rFonts w:eastAsia="Times New Roman" w:cs="Times New Roman"/>
          <w:szCs w:val="24"/>
        </w:rPr>
      </w:pPr>
    </w:p>
    <w:p w14:paraId="558CB7CA" w14:textId="2089D689"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Despite concerted governmental efforts in coordinating hydrogen standards, the bulk of the efforts appear to be emerging from industry associations, as we predict would occur in Part II. For example, the DOE refers viewers to an association-created database of hydrogen standards, which characterizes standards by the organizations that created them and the sectors to which they apply</w:t>
      </w:r>
      <w:r w:rsidR="00346DCF">
        <w:rPr>
          <w:rFonts w:eastAsia="Times New Roman" w:cs="Times New Roman"/>
          <w:color w:val="000000"/>
          <w:szCs w:val="24"/>
        </w:rPr>
        <w:t>.</w:t>
      </w:r>
      <w:r w:rsidR="00346DCF">
        <w:rPr>
          <w:rStyle w:val="FootnoteReference"/>
          <w:rFonts w:eastAsia="Times New Roman" w:cs="Times New Roman"/>
          <w:color w:val="000000"/>
          <w:szCs w:val="24"/>
        </w:rPr>
        <w:footnoteReference w:id="165"/>
      </w:r>
      <w:r w:rsidRPr="00EC79E0">
        <w:rPr>
          <w:rFonts w:eastAsia="Times New Roman" w:cs="Times New Roman"/>
          <w:color w:val="000000"/>
          <w:szCs w:val="24"/>
        </w:rPr>
        <w:t>  This organization—the Fuel Cell &amp; Hydrogen Energy Association—also supports industry standard development efforts. And as explored above, organizations such as NFPA and the Compressed Gas Association are actively working to develop more comprehensive standards and to address gaps in standards. Additionally, ASME formed a separate organization to specifically test the technical aspects of the industries for which it develops standards; it has used ASME Standards Technology LLC to test hydrogen risks and produce technical papers to directly inform the ASME hydrogen standards process</w:t>
      </w:r>
      <w:r w:rsidR="00346DCF">
        <w:rPr>
          <w:rFonts w:eastAsia="Times New Roman" w:cs="Times New Roman"/>
          <w:color w:val="000000"/>
          <w:szCs w:val="24"/>
        </w:rPr>
        <w:t>.</w:t>
      </w:r>
      <w:r w:rsidR="00346DCF">
        <w:rPr>
          <w:rStyle w:val="FootnoteReference"/>
          <w:rFonts w:eastAsia="Times New Roman" w:cs="Times New Roman"/>
          <w:color w:val="000000"/>
          <w:szCs w:val="24"/>
        </w:rPr>
        <w:footnoteReference w:id="166"/>
      </w:r>
      <w:r w:rsidRPr="00EC79E0">
        <w:rPr>
          <w:rFonts w:eastAsia="Times New Roman" w:cs="Times New Roman"/>
          <w:color w:val="000000"/>
          <w:szCs w:val="24"/>
        </w:rPr>
        <w:t xml:space="preserve"> The precise balance between SSO</w:t>
      </w:r>
      <w:r w:rsidR="00A77FDE">
        <w:rPr>
          <w:rFonts w:eastAsia="Times New Roman" w:cs="Times New Roman"/>
          <w:color w:val="000000"/>
          <w:szCs w:val="24"/>
        </w:rPr>
        <w:t xml:space="preserve"> or SRO</w:t>
      </w:r>
      <w:r w:rsidRPr="00EC79E0">
        <w:rPr>
          <w:rFonts w:eastAsia="Times New Roman" w:cs="Times New Roman"/>
          <w:color w:val="000000"/>
          <w:szCs w:val="24"/>
        </w:rPr>
        <w:t>-led coordination and government-led coordination is being determined in real time, but the overall need for some degree of coordination is clear and is being met.</w:t>
      </w:r>
    </w:p>
    <w:p w14:paraId="1273A218" w14:textId="77777777" w:rsidR="00924635" w:rsidRPr="00EC79E0" w:rsidRDefault="00924635" w:rsidP="00924635">
      <w:pPr>
        <w:spacing w:after="0" w:line="240" w:lineRule="auto"/>
        <w:rPr>
          <w:rFonts w:eastAsia="Times New Roman" w:cs="Times New Roman"/>
          <w:szCs w:val="24"/>
        </w:rPr>
      </w:pPr>
    </w:p>
    <w:p w14:paraId="791E20CC" w14:textId="77777777" w:rsidR="00924635" w:rsidRPr="00EC79E0" w:rsidRDefault="00924635" w:rsidP="00924635">
      <w:pPr>
        <w:numPr>
          <w:ilvl w:val="0"/>
          <w:numId w:val="18"/>
        </w:numPr>
        <w:spacing w:after="0" w:line="240" w:lineRule="auto"/>
        <w:ind w:left="2160"/>
        <w:jc w:val="both"/>
        <w:textAlignment w:val="baseline"/>
        <w:rPr>
          <w:rFonts w:eastAsia="Times New Roman" w:cs="Times New Roman"/>
          <w:color w:val="000000"/>
          <w:szCs w:val="24"/>
        </w:rPr>
      </w:pPr>
      <w:r w:rsidRPr="00EC79E0">
        <w:rPr>
          <w:rFonts w:eastAsia="Times New Roman" w:cs="Times New Roman"/>
          <w:color w:val="000000"/>
          <w:szCs w:val="24"/>
        </w:rPr>
        <w:t>Evidence of Balanced Certainty and Flexibility Within Hydrogen Standards</w:t>
      </w:r>
    </w:p>
    <w:p w14:paraId="13DD2727" w14:textId="77777777" w:rsidR="00924635" w:rsidRPr="00EC79E0" w:rsidRDefault="00924635" w:rsidP="00924635">
      <w:pPr>
        <w:spacing w:after="0" w:line="240" w:lineRule="auto"/>
        <w:rPr>
          <w:rFonts w:eastAsia="Times New Roman" w:cs="Times New Roman"/>
          <w:szCs w:val="24"/>
        </w:rPr>
      </w:pPr>
    </w:p>
    <w:p w14:paraId="2633AC28" w14:textId="41F75BE2"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i/>
          <w:iCs/>
          <w:color w:val="000000"/>
          <w:szCs w:val="24"/>
        </w:rPr>
        <w:tab/>
      </w:r>
      <w:r w:rsidRPr="00EC79E0">
        <w:rPr>
          <w:rFonts w:eastAsia="Times New Roman" w:cs="Times New Roman"/>
          <w:color w:val="000000"/>
          <w:szCs w:val="24"/>
        </w:rPr>
        <w:t>A critical feature of regulations guiding all industries—but particularly those in the development phases—is the creation of regulatory guidance that is relatively stable yet also offers flexibility through periodic updating or standards. Stable standards provide some degree of certainty and predictability as industry invests in the capital and services needed to comply with regulation. Periodic updating of standards</w:t>
      </w:r>
      <w:r w:rsidR="006754F8">
        <w:rPr>
          <w:rFonts w:eastAsia="Times New Roman" w:cs="Times New Roman"/>
          <w:color w:val="000000"/>
          <w:szCs w:val="24"/>
        </w:rPr>
        <w:t xml:space="preserve"> </w:t>
      </w:r>
      <w:r w:rsidRPr="00EC79E0">
        <w:rPr>
          <w:rFonts w:eastAsia="Times New Roman" w:cs="Times New Roman"/>
          <w:color w:val="000000"/>
          <w:szCs w:val="24"/>
        </w:rPr>
        <w:t xml:space="preserve">not so frequent as to upset or overturn substantial investments in compliance, yet frequent enough to address new information about risks and regulatory needs— in turn allows </w:t>
      </w:r>
      <w:r w:rsidRPr="00EC79E0">
        <w:rPr>
          <w:rFonts w:eastAsia="Times New Roman" w:cs="Times New Roman"/>
          <w:color w:val="000000"/>
          <w:szCs w:val="24"/>
        </w:rPr>
        <w:lastRenderedPageBreak/>
        <w:t>for changes that may enhance consumer confidence and address industry concerns about overly costly or inadequately effective regulations. </w:t>
      </w:r>
    </w:p>
    <w:p w14:paraId="27603BB8" w14:textId="77777777" w:rsidR="00924635" w:rsidRPr="00EC79E0" w:rsidRDefault="00924635" w:rsidP="00924635">
      <w:pPr>
        <w:spacing w:after="0" w:line="240" w:lineRule="auto"/>
        <w:rPr>
          <w:rFonts w:eastAsia="Times New Roman" w:cs="Times New Roman"/>
          <w:szCs w:val="24"/>
        </w:rPr>
      </w:pPr>
    </w:p>
    <w:p w14:paraId="31DFDCBC" w14:textId="77777777"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The relatively comprehensive set of U.S. industry standards for hydrogen appears to be playing a critical role in filling some large regulatory gaps that produce uncertainties for a nascent hydrogen economy—particularly PHMSA’s failure to write regulations for the safety of pipelines that carry hydrogen and FERC’s lack of hydrogen pipeline construction standards. And industry associations are actively updating these standards as they learn of new risks, as demonstrated by NFPA’s updating of its hydrogen storage tank regulations in 2010 and 2016 based on new government risk models. </w:t>
      </w:r>
    </w:p>
    <w:p w14:paraId="7423D86F" w14:textId="77777777" w:rsidR="00924635" w:rsidRPr="00EC79E0" w:rsidRDefault="00924635" w:rsidP="00924635">
      <w:pPr>
        <w:spacing w:after="0" w:line="240" w:lineRule="auto"/>
        <w:rPr>
          <w:rFonts w:eastAsia="Times New Roman" w:cs="Times New Roman"/>
          <w:szCs w:val="24"/>
        </w:rPr>
      </w:pPr>
    </w:p>
    <w:p w14:paraId="1E3306BF" w14:textId="7088E992" w:rsidR="00924635" w:rsidRPr="00EC79E0" w:rsidRDefault="00924635" w:rsidP="00523783">
      <w:pPr>
        <w:pStyle w:val="Heading3"/>
        <w:ind w:left="720" w:hanging="720"/>
        <w:rPr>
          <w:rFonts w:eastAsia="Times New Roman"/>
        </w:rPr>
      </w:pPr>
      <w:bookmarkStart w:id="44" w:name="_Toc141791879"/>
      <w:r w:rsidRPr="00EC79E0">
        <w:rPr>
          <w:rFonts w:eastAsia="Times New Roman"/>
        </w:rPr>
        <w:t xml:space="preserve">B. </w:t>
      </w:r>
      <w:r w:rsidR="00523783">
        <w:rPr>
          <w:rFonts w:eastAsia="Times New Roman"/>
        </w:rPr>
        <w:tab/>
      </w:r>
      <w:r w:rsidRPr="00EC79E0">
        <w:rPr>
          <w:rFonts w:eastAsia="Times New Roman"/>
        </w:rPr>
        <w:t>Self-Regulation and Public Governance in the Growth of the Internet</w:t>
      </w:r>
      <w:bookmarkEnd w:id="44"/>
      <w:r w:rsidRPr="00EC79E0">
        <w:rPr>
          <w:rFonts w:eastAsia="Times New Roman"/>
        </w:rPr>
        <w:t> </w:t>
      </w:r>
    </w:p>
    <w:p w14:paraId="2696A0EF" w14:textId="77777777" w:rsidR="00924635" w:rsidRPr="00EC79E0" w:rsidRDefault="00924635" w:rsidP="00924635">
      <w:pPr>
        <w:spacing w:after="0" w:line="240" w:lineRule="auto"/>
        <w:rPr>
          <w:rFonts w:eastAsia="Times New Roman" w:cs="Times New Roman"/>
          <w:szCs w:val="24"/>
        </w:rPr>
      </w:pPr>
    </w:p>
    <w:p w14:paraId="7BA8B89A"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A variety of industrial sectors beyond the energy sector offer similarly important insights into the potential for self-regulation to support emerging industries–particularly technologically complex industries with network effects. The Internet is perhaps the most apt example. Here, too, was a largely undeveloped public good–-a small yet critical information network pioneered by the military and, at first, offering extremely limited access by private individuals. As the Internet grew, it represented even stronger network effects than hydrogen; it increased in value with every new connection of an individual to the literal information network, and it required a physical, interconnected infrastructural web of wires and hardware. Even more so than hydrogen, the Internet was also a good with an extreme lack of jurisdictional clarity—indeed, a good that defied all traditional political boundaries. And as with hydrogen, the Internet involved detailed technical questions that those closest to its formation were most familiar with. </w:t>
      </w:r>
    </w:p>
    <w:p w14:paraId="12BEEC9A" w14:textId="77777777" w:rsidR="00924635" w:rsidRPr="00EC79E0" w:rsidRDefault="00924635" w:rsidP="00924635">
      <w:pPr>
        <w:spacing w:after="0" w:line="240" w:lineRule="auto"/>
        <w:rPr>
          <w:rFonts w:eastAsia="Times New Roman" w:cs="Times New Roman"/>
          <w:szCs w:val="24"/>
        </w:rPr>
      </w:pPr>
    </w:p>
    <w:p w14:paraId="41877EC7" w14:textId="4B48F2E0"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The Internet began as a U.S. military endeavor, led by the government, or, more specifically, private government contractors</w:t>
      </w:r>
      <w:r w:rsidR="001D72DC">
        <w:rPr>
          <w:rFonts w:eastAsia="Times New Roman" w:cs="Times New Roman"/>
          <w:color w:val="000000"/>
          <w:szCs w:val="24"/>
        </w:rPr>
        <w:t>.</w:t>
      </w:r>
      <w:r w:rsidR="001D72DC">
        <w:rPr>
          <w:rStyle w:val="FootnoteReference"/>
          <w:rFonts w:eastAsia="Times New Roman" w:cs="Times New Roman"/>
          <w:color w:val="000000"/>
          <w:szCs w:val="24"/>
        </w:rPr>
        <w:footnoteReference w:id="167"/>
      </w:r>
      <w:r w:rsidRPr="00EC79E0">
        <w:rPr>
          <w:rFonts w:eastAsia="Times New Roman" w:cs="Times New Roman"/>
          <w:color w:val="000000"/>
          <w:szCs w:val="24"/>
        </w:rPr>
        <w:t xml:space="preserve"> But as private individuals pushed for and obtained access to it, government involvement in the design and control of the Internet substantially changed, while self-regulation expanded. The predominant, early assumption of experts was that this technologically complex, sprawling network </w:t>
      </w:r>
      <w:r w:rsidRPr="00EC79E0">
        <w:rPr>
          <w:rFonts w:eastAsia="Times New Roman" w:cs="Times New Roman"/>
          <w:i/>
          <w:iCs/>
          <w:color w:val="000000"/>
          <w:szCs w:val="24"/>
        </w:rPr>
        <w:t>required</w:t>
      </w:r>
      <w:r w:rsidRPr="00EC79E0">
        <w:rPr>
          <w:rFonts w:eastAsia="Times New Roman" w:cs="Times New Roman"/>
          <w:color w:val="000000"/>
          <w:szCs w:val="24"/>
        </w:rPr>
        <w:t xml:space="preserve"> self-regulation. Commentators noted the need for flexibility of standards as technologies rapidly evolved and emphasized the highly technical nature of </w:t>
      </w:r>
      <w:r w:rsidRPr="00EC79E0">
        <w:rPr>
          <w:rFonts w:eastAsia="Times New Roman" w:cs="Times New Roman"/>
          <w:color w:val="000000"/>
          <w:szCs w:val="24"/>
        </w:rPr>
        <w:lastRenderedPageBreak/>
        <w:t>the Internet, which called for private expertise in standards development.</w:t>
      </w:r>
      <w:bookmarkStart w:id="45" w:name="_Ref142256317"/>
      <w:r w:rsidR="001D72DC">
        <w:rPr>
          <w:rStyle w:val="FootnoteReference"/>
          <w:rFonts w:eastAsia="Times New Roman" w:cs="Times New Roman"/>
          <w:color w:val="000000"/>
          <w:szCs w:val="24"/>
        </w:rPr>
        <w:footnoteReference w:id="168"/>
      </w:r>
      <w:bookmarkEnd w:id="45"/>
      <w:r w:rsidRPr="00EC79E0">
        <w:rPr>
          <w:rFonts w:eastAsia="Times New Roman" w:cs="Times New Roman"/>
          <w:color w:val="000000"/>
          <w:szCs w:val="24"/>
        </w:rPr>
        <w:t xml:space="preserve"> To a large degree, governments agreed with arguments for a light public regulatory touch. The Clinton Administration formally declared a self-regulatory approach to the Internet</w:t>
      </w:r>
      <w:r w:rsidR="001D72DC">
        <w:rPr>
          <w:rFonts w:eastAsia="Times New Roman" w:cs="Times New Roman"/>
          <w:color w:val="000000"/>
          <w:szCs w:val="24"/>
        </w:rPr>
        <w:t>,</w:t>
      </w:r>
      <w:r w:rsidR="001D72DC">
        <w:rPr>
          <w:rStyle w:val="FootnoteReference"/>
          <w:rFonts w:eastAsia="Times New Roman" w:cs="Times New Roman"/>
          <w:color w:val="000000"/>
          <w:szCs w:val="24"/>
        </w:rPr>
        <w:footnoteReference w:id="169"/>
      </w:r>
      <w:r w:rsidRPr="00EC79E0">
        <w:rPr>
          <w:rFonts w:eastAsia="Times New Roman" w:cs="Times New Roman"/>
          <w:color w:val="000000"/>
          <w:szCs w:val="24"/>
        </w:rPr>
        <w:t xml:space="preserve"> and subsequent administrations tended to follow suit. But as with hydrogen, government regulation played an important complementary role, and, many argue, should be even more active within the Internet regulatory sphere today</w:t>
      </w:r>
      <w:r w:rsidR="001D72DC">
        <w:rPr>
          <w:rFonts w:eastAsia="Times New Roman" w:cs="Times New Roman"/>
          <w:color w:val="000000"/>
          <w:szCs w:val="24"/>
        </w:rPr>
        <w:t>.</w:t>
      </w:r>
      <w:bookmarkStart w:id="46" w:name="_Ref142255866"/>
      <w:r w:rsidR="001D72DC">
        <w:rPr>
          <w:rStyle w:val="FootnoteReference"/>
          <w:rFonts w:eastAsia="Times New Roman" w:cs="Times New Roman"/>
          <w:color w:val="000000"/>
          <w:szCs w:val="24"/>
        </w:rPr>
        <w:footnoteReference w:id="170"/>
      </w:r>
      <w:bookmarkEnd w:id="46"/>
      <w:r w:rsidRPr="00EC79E0">
        <w:rPr>
          <w:rFonts w:eastAsia="Times New Roman" w:cs="Times New Roman"/>
          <w:color w:val="000000"/>
          <w:szCs w:val="24"/>
        </w:rPr>
        <w:t xml:space="preserve"> </w:t>
      </w:r>
    </w:p>
    <w:p w14:paraId="06175FEE" w14:textId="77777777" w:rsidR="00924635" w:rsidRPr="00EC79E0" w:rsidRDefault="00924635" w:rsidP="00924635">
      <w:pPr>
        <w:spacing w:after="0" w:line="240" w:lineRule="auto"/>
        <w:rPr>
          <w:rFonts w:eastAsia="Times New Roman" w:cs="Times New Roman"/>
          <w:szCs w:val="24"/>
        </w:rPr>
      </w:pPr>
    </w:p>
    <w:p w14:paraId="49C7D373" w14:textId="77777777" w:rsidR="00924635" w:rsidRPr="00EC79E0" w:rsidRDefault="00924635" w:rsidP="00924635">
      <w:pPr>
        <w:numPr>
          <w:ilvl w:val="0"/>
          <w:numId w:val="19"/>
        </w:numPr>
        <w:spacing w:after="0" w:line="240" w:lineRule="auto"/>
        <w:jc w:val="both"/>
        <w:textAlignment w:val="baseline"/>
        <w:rPr>
          <w:rFonts w:eastAsia="Times New Roman" w:cs="Times New Roman"/>
          <w:color w:val="000000"/>
          <w:szCs w:val="24"/>
        </w:rPr>
      </w:pPr>
      <w:r w:rsidRPr="00EC79E0">
        <w:rPr>
          <w:rFonts w:eastAsia="Times New Roman" w:cs="Times New Roman"/>
          <w:color w:val="000000"/>
          <w:szCs w:val="24"/>
        </w:rPr>
        <w:t>A Brief History of Internet Self-Regulation</w:t>
      </w:r>
    </w:p>
    <w:p w14:paraId="1207C024" w14:textId="77777777" w:rsidR="00924635" w:rsidRPr="00EC79E0" w:rsidRDefault="00924635" w:rsidP="00924635">
      <w:pPr>
        <w:spacing w:after="0" w:line="240" w:lineRule="auto"/>
        <w:rPr>
          <w:rFonts w:eastAsia="Times New Roman" w:cs="Times New Roman"/>
          <w:szCs w:val="24"/>
        </w:rPr>
      </w:pPr>
    </w:p>
    <w:p w14:paraId="4E62E4FE" w14:textId="57206C2E"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To many experts, as the seemingly impossible alien being called the “Internet” began to emerge from its military roots, there was no question that this strange and endlessly sprawling beast of an industry required self-regulation. For example, David Johnson and David Post argued that “[g]lobal computer-based communications cut across territorial borders, creating a new realm of human activity and undermining the feasibility--and legitimacy--of laws based on geographic boundaries”</w:t>
      </w:r>
      <w:r w:rsidR="001D72DC">
        <w:rPr>
          <w:rStyle w:val="FootnoteReference"/>
          <w:rFonts w:eastAsia="Times New Roman" w:cs="Times New Roman"/>
          <w:color w:val="000000"/>
          <w:szCs w:val="24"/>
        </w:rPr>
        <w:footnoteReference w:id="171"/>
      </w:r>
      <w:r w:rsidRPr="00EC79E0">
        <w:rPr>
          <w:rFonts w:eastAsia="Times New Roman" w:cs="Times New Roman"/>
          <w:color w:val="000000"/>
          <w:szCs w:val="24"/>
        </w:rPr>
        <w:t xml:space="preserve"> Indeed, the Internet emerged primarily with the support of self-regulation, but courts and legislation also played an important role throughout the development of this critical and ultimately sprawling good. </w:t>
      </w:r>
    </w:p>
    <w:p w14:paraId="42F7BBCA" w14:textId="77777777" w:rsidR="00924635" w:rsidRPr="00EC79E0" w:rsidRDefault="00924635" w:rsidP="00924635">
      <w:pPr>
        <w:spacing w:after="0" w:line="240" w:lineRule="auto"/>
        <w:rPr>
          <w:rFonts w:eastAsia="Times New Roman" w:cs="Times New Roman"/>
          <w:szCs w:val="24"/>
        </w:rPr>
      </w:pPr>
    </w:p>
    <w:p w14:paraId="34EC1438" w14:textId="6C05F73E"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The standards that allowed the Internet to flourish fall decidedly within the realm of self-regulation, although they originated within a quasi-governmental body. Specifically, in 1968, the university-based computer science contractors comprising the Advanced Research Projects Agency (ARPA, called the Defense Advanced Research Projects Agency, or DARPA, as of 1972) began a “nomadic, collegial, open and consensus-based process” for developing standards that would define an information network that would eventually come to be known as the Internet</w:t>
      </w:r>
      <w:r w:rsidR="001D72DC">
        <w:rPr>
          <w:rFonts w:eastAsia="Times New Roman" w:cs="Times New Roman"/>
          <w:color w:val="000000"/>
          <w:szCs w:val="24"/>
        </w:rPr>
        <w:t>.</w:t>
      </w:r>
      <w:bookmarkStart w:id="47" w:name="_Ref142255420"/>
      <w:r w:rsidR="001D72DC">
        <w:rPr>
          <w:rStyle w:val="FootnoteReference"/>
          <w:rFonts w:eastAsia="Times New Roman" w:cs="Times New Roman"/>
          <w:color w:val="000000"/>
          <w:szCs w:val="24"/>
        </w:rPr>
        <w:footnoteReference w:id="172"/>
      </w:r>
      <w:bookmarkEnd w:id="47"/>
      <w:r w:rsidRPr="00EC79E0">
        <w:rPr>
          <w:rFonts w:eastAsia="Times New Roman" w:cs="Times New Roman"/>
          <w:color w:val="000000"/>
          <w:szCs w:val="24"/>
        </w:rPr>
        <w:t xml:space="preserve"> Most members of this “Network Working Group” were graduate students. This group eventually morphed into the IAB–still primarily composed of “self-selected” private individuals–and in 1986 designated an organization called the Internet Engineering Task Force (IETF) to do much of its work; the IAB reserved for </w:t>
      </w:r>
      <w:r w:rsidRPr="00EC79E0">
        <w:rPr>
          <w:rFonts w:eastAsia="Times New Roman" w:cs="Times New Roman"/>
          <w:color w:val="000000"/>
          <w:szCs w:val="24"/>
        </w:rPr>
        <w:lastRenderedPageBreak/>
        <w:t>itself a review and appellate role</w:t>
      </w:r>
      <w:r w:rsidR="001D72DC">
        <w:rPr>
          <w:rFonts w:eastAsia="Times New Roman" w:cs="Times New Roman"/>
          <w:color w:val="000000"/>
          <w:szCs w:val="24"/>
        </w:rPr>
        <w:t>.</w:t>
      </w:r>
      <w:r w:rsidR="001D72DC">
        <w:rPr>
          <w:rStyle w:val="FootnoteReference"/>
          <w:rFonts w:eastAsia="Times New Roman" w:cs="Times New Roman"/>
          <w:color w:val="000000"/>
          <w:szCs w:val="24"/>
        </w:rPr>
        <w:footnoteReference w:id="173"/>
      </w:r>
      <w:r w:rsidRPr="00EC79E0">
        <w:rPr>
          <w:rFonts w:eastAsia="Times New Roman" w:cs="Times New Roman"/>
          <w:color w:val="000000"/>
          <w:szCs w:val="24"/>
        </w:rPr>
        <w:t xml:space="preserve"> Specifically, the IAB tasked the IETF with “the general responsibility for making the Internet work and for the resolution of all short- and mid-range protocol and architectural issues required to make the Internet function effectively</w:t>
      </w:r>
      <w:r w:rsidR="001D72DC">
        <w:rPr>
          <w:rFonts w:eastAsia="Times New Roman" w:cs="Times New Roman"/>
          <w:color w:val="000000"/>
          <w:szCs w:val="24"/>
        </w:rPr>
        <w:t>.</w:t>
      </w:r>
      <w:r w:rsidRPr="00EC79E0">
        <w:rPr>
          <w:rFonts w:eastAsia="Times New Roman" w:cs="Times New Roman"/>
          <w:color w:val="000000"/>
          <w:szCs w:val="24"/>
        </w:rPr>
        <w:t>”</w:t>
      </w:r>
      <w:r w:rsidR="001D72DC">
        <w:rPr>
          <w:rStyle w:val="FootnoteReference"/>
          <w:rFonts w:eastAsia="Times New Roman" w:cs="Times New Roman"/>
          <w:color w:val="000000"/>
          <w:szCs w:val="24"/>
        </w:rPr>
        <w:footnoteReference w:id="174"/>
      </w:r>
      <w:r w:rsidRPr="00EC79E0">
        <w:rPr>
          <w:rFonts w:eastAsia="Times New Roman" w:cs="Times New Roman"/>
          <w:color w:val="000000"/>
          <w:szCs w:val="24"/>
        </w:rPr>
        <w:t xml:space="preserve"> In 1992, the IETF opened up its standards process in response to criticism of relatively closed </w:t>
      </w:r>
      <w:proofErr w:type="spellStart"/>
      <w:r w:rsidRPr="00EC79E0">
        <w:rPr>
          <w:rFonts w:eastAsia="Times New Roman" w:cs="Times New Roman"/>
          <w:color w:val="000000"/>
          <w:szCs w:val="24"/>
        </w:rPr>
        <w:t>decisionmaking</w:t>
      </w:r>
      <w:proofErr w:type="spellEnd"/>
      <w:r w:rsidRPr="00EC79E0">
        <w:rPr>
          <w:rFonts w:eastAsia="Times New Roman" w:cs="Times New Roman"/>
          <w:color w:val="000000"/>
          <w:szCs w:val="24"/>
        </w:rPr>
        <w:t xml:space="preserve"> by its tight group of engineer members, and by this time it was recognized as the “primary venue for internet standards development</w:t>
      </w:r>
      <w:r w:rsidR="001D72DC">
        <w:rPr>
          <w:rFonts w:eastAsia="Times New Roman" w:cs="Times New Roman"/>
          <w:color w:val="000000"/>
          <w:szCs w:val="24"/>
        </w:rPr>
        <w:t>.</w:t>
      </w:r>
      <w:r w:rsidRPr="00EC79E0">
        <w:rPr>
          <w:rFonts w:eastAsia="Times New Roman" w:cs="Times New Roman"/>
          <w:color w:val="000000"/>
          <w:szCs w:val="24"/>
        </w:rPr>
        <w:t>”</w:t>
      </w:r>
      <w:bookmarkStart w:id="48" w:name="_Ref142255967"/>
      <w:r w:rsidR="001D72DC">
        <w:rPr>
          <w:rStyle w:val="FootnoteReference"/>
          <w:rFonts w:eastAsia="Times New Roman" w:cs="Times New Roman"/>
          <w:color w:val="000000"/>
          <w:szCs w:val="24"/>
        </w:rPr>
        <w:footnoteReference w:id="175"/>
      </w:r>
      <w:bookmarkEnd w:id="48"/>
      <w:r w:rsidRPr="00EC79E0">
        <w:rPr>
          <w:rFonts w:eastAsia="Times New Roman" w:cs="Times New Roman"/>
          <w:color w:val="000000"/>
          <w:szCs w:val="24"/>
        </w:rPr>
        <w:t xml:space="preserve"> </w:t>
      </w:r>
    </w:p>
    <w:p w14:paraId="5FD06808" w14:textId="77777777" w:rsidR="00924635" w:rsidRPr="00EC79E0" w:rsidRDefault="00924635" w:rsidP="00924635">
      <w:pPr>
        <w:spacing w:after="0" w:line="240" w:lineRule="auto"/>
        <w:rPr>
          <w:rFonts w:eastAsia="Times New Roman" w:cs="Times New Roman"/>
          <w:szCs w:val="24"/>
        </w:rPr>
      </w:pPr>
    </w:p>
    <w:p w14:paraId="5933E3E1" w14:textId="18527DF1"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The IETF continues to serve as the primary Internet standards-setting organization, although it is not formally characterized as a “voluntary consensus standards body” by the Office of Management and Budget and the Standards Development Organization Advancement Act of 2004</w:t>
      </w:r>
      <w:r w:rsidR="001D72DC">
        <w:rPr>
          <w:rFonts w:eastAsia="Times New Roman" w:cs="Times New Roman"/>
          <w:color w:val="000000"/>
          <w:szCs w:val="24"/>
        </w:rPr>
        <w:t>.</w:t>
      </w:r>
      <w:r w:rsidR="001D72DC">
        <w:rPr>
          <w:rStyle w:val="FootnoteReference"/>
          <w:rFonts w:eastAsia="Times New Roman" w:cs="Times New Roman"/>
          <w:color w:val="000000"/>
          <w:szCs w:val="24"/>
        </w:rPr>
        <w:footnoteReference w:id="176"/>
      </w:r>
      <w:r w:rsidR="001D72DC">
        <w:rPr>
          <w:rFonts w:eastAsia="Times New Roman" w:cs="Times New Roman"/>
          <w:color w:val="000000"/>
          <w:szCs w:val="24"/>
        </w:rPr>
        <w:t xml:space="preserve"> </w:t>
      </w:r>
      <w:r w:rsidRPr="00EC79E0">
        <w:rPr>
          <w:rFonts w:eastAsia="Times New Roman" w:cs="Times New Roman"/>
          <w:color w:val="000000"/>
          <w:szCs w:val="24"/>
        </w:rPr>
        <w:t>The IETF fails to meet this definition because it does not have formal stakeholder or interest group balance requirements, instead relying on a fully open process in which “all interested parties have an opportunity to participate</w:t>
      </w:r>
      <w:r w:rsidR="001D72DC">
        <w:rPr>
          <w:rFonts w:eastAsia="Times New Roman" w:cs="Times New Roman"/>
          <w:color w:val="000000"/>
          <w:szCs w:val="24"/>
        </w:rPr>
        <w:t>.”</w:t>
      </w:r>
      <w:r w:rsidR="001D72DC">
        <w:rPr>
          <w:rStyle w:val="FootnoteReference"/>
          <w:rFonts w:eastAsia="Times New Roman" w:cs="Times New Roman"/>
          <w:color w:val="000000"/>
          <w:szCs w:val="24"/>
        </w:rPr>
        <w:footnoteReference w:id="177"/>
      </w:r>
    </w:p>
    <w:p w14:paraId="36BA1AF0"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szCs w:val="24"/>
        </w:rPr>
        <w:br/>
      </w:r>
    </w:p>
    <w:p w14:paraId="1CA827C1" w14:textId="77777777" w:rsidR="00924635" w:rsidRPr="00EC79E0" w:rsidRDefault="00924635" w:rsidP="004348F6">
      <w:pPr>
        <w:pStyle w:val="ListParagraph"/>
        <w:numPr>
          <w:ilvl w:val="0"/>
          <w:numId w:val="19"/>
        </w:numPr>
        <w:spacing w:after="0" w:line="240" w:lineRule="auto"/>
        <w:jc w:val="both"/>
        <w:textAlignment w:val="baseline"/>
        <w:rPr>
          <w:rFonts w:eastAsia="Times New Roman" w:cs="Times New Roman"/>
          <w:color w:val="000000"/>
          <w:szCs w:val="24"/>
        </w:rPr>
      </w:pPr>
      <w:r w:rsidRPr="00EC79E0">
        <w:rPr>
          <w:rFonts w:eastAsia="Times New Roman" w:cs="Times New Roman"/>
          <w:color w:val="000000"/>
          <w:szCs w:val="24"/>
        </w:rPr>
        <w:t>The Internet’s Foreshadowing of the Benefits and Challenges of Self-Regulation in Emerging Industries </w:t>
      </w:r>
    </w:p>
    <w:p w14:paraId="7A09E449" w14:textId="77777777" w:rsidR="00924635" w:rsidRPr="00EC79E0" w:rsidRDefault="00924635" w:rsidP="00924635">
      <w:pPr>
        <w:spacing w:after="0" w:line="240" w:lineRule="auto"/>
        <w:rPr>
          <w:rFonts w:eastAsia="Times New Roman" w:cs="Times New Roman"/>
          <w:szCs w:val="24"/>
        </w:rPr>
      </w:pPr>
    </w:p>
    <w:p w14:paraId="6887C82B"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As would be shown for hydrogen more than twenty years later, the growth of the Internet and associated self-regulatory standards demonstrated the importance–and limitations–of self-regulation in several distinct areas, including the benefits of regulatory competition among industry actors and SSOs, the coordination of standards by SSOs, and substantive and jurisdictional certainty and flexibility. </w:t>
      </w:r>
    </w:p>
    <w:p w14:paraId="3C16F901"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szCs w:val="24"/>
        </w:rPr>
        <w:br/>
      </w:r>
    </w:p>
    <w:p w14:paraId="585B7DF8" w14:textId="77777777" w:rsidR="00924635" w:rsidRPr="00EC79E0" w:rsidRDefault="004348F6" w:rsidP="004348F6">
      <w:pPr>
        <w:pStyle w:val="ListParagraph"/>
        <w:numPr>
          <w:ilvl w:val="1"/>
          <w:numId w:val="19"/>
        </w:numPr>
        <w:spacing w:after="0" w:line="240" w:lineRule="auto"/>
        <w:jc w:val="both"/>
        <w:textAlignment w:val="baseline"/>
        <w:rPr>
          <w:rFonts w:eastAsia="Times New Roman" w:cs="Times New Roman"/>
          <w:color w:val="000000"/>
          <w:szCs w:val="24"/>
        </w:rPr>
      </w:pPr>
      <w:r w:rsidRPr="00EC79E0">
        <w:rPr>
          <w:rFonts w:eastAsia="Times New Roman" w:cs="Times New Roman"/>
          <w:color w:val="000000"/>
          <w:szCs w:val="24"/>
        </w:rPr>
        <w:t xml:space="preserve"> </w:t>
      </w:r>
      <w:r w:rsidR="00924635" w:rsidRPr="00EC79E0">
        <w:rPr>
          <w:rFonts w:eastAsia="Times New Roman" w:cs="Times New Roman"/>
          <w:color w:val="000000"/>
          <w:szCs w:val="24"/>
        </w:rPr>
        <w:t>Competing Standards </w:t>
      </w:r>
    </w:p>
    <w:p w14:paraId="48FC6E6E" w14:textId="77777777" w:rsidR="00924635" w:rsidRPr="00EC79E0" w:rsidRDefault="00924635" w:rsidP="00924635">
      <w:pPr>
        <w:spacing w:after="0" w:line="240" w:lineRule="auto"/>
        <w:rPr>
          <w:rFonts w:eastAsia="Times New Roman" w:cs="Times New Roman"/>
          <w:szCs w:val="24"/>
        </w:rPr>
      </w:pPr>
    </w:p>
    <w:p w14:paraId="17255BEA" w14:textId="77777777"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As noted above in the hydrogen context, self-regulation can benefit emerging industries in its allowance of competition among numerous competing standards developed by industry actors and associations hoping to enable a successful new industry.  Under the right circumstances–adequate coordination and information sharing, among others–the “best” standards (e.g., those that allow for growth of the new industry while also adequately addressing public concerns) may rise to the top. </w:t>
      </w:r>
    </w:p>
    <w:p w14:paraId="0F43CD58" w14:textId="77777777" w:rsidR="00924635" w:rsidRPr="00EC79E0" w:rsidRDefault="00924635" w:rsidP="00924635">
      <w:pPr>
        <w:spacing w:after="0" w:line="240" w:lineRule="auto"/>
        <w:rPr>
          <w:rFonts w:eastAsia="Times New Roman" w:cs="Times New Roman"/>
          <w:szCs w:val="24"/>
        </w:rPr>
      </w:pPr>
    </w:p>
    <w:p w14:paraId="37295853" w14:textId="20738810"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lastRenderedPageBreak/>
        <w:t>The private standard that is one of the key layers of the Internet is the TCP/IP created by the quasi-SSO IETF’s predecessor IAB. TCP/IP allows individuals to communicate through “standardized packets'' rather than direct communication that would require specified routes</w:t>
      </w:r>
      <w:r w:rsidR="001D72DC">
        <w:rPr>
          <w:rFonts w:eastAsia="Times New Roman" w:cs="Times New Roman"/>
          <w:color w:val="000000"/>
          <w:szCs w:val="24"/>
        </w:rPr>
        <w:t>.</w:t>
      </w:r>
      <w:r w:rsidR="001D72DC">
        <w:rPr>
          <w:rStyle w:val="FootnoteReference"/>
          <w:rFonts w:eastAsia="Times New Roman" w:cs="Times New Roman"/>
          <w:color w:val="000000"/>
          <w:szCs w:val="24"/>
        </w:rPr>
        <w:footnoteReference w:id="178"/>
      </w:r>
      <w:r w:rsidRPr="00EC79E0">
        <w:rPr>
          <w:rFonts w:eastAsia="Times New Roman" w:cs="Times New Roman"/>
          <w:color w:val="000000"/>
          <w:szCs w:val="24"/>
        </w:rPr>
        <w:t xml:space="preserve"> This standard was itself the subject of early competition between standards-setting bodies. The ISO had created its own, competing protocol for Internet communication when IAB introduced TCP/IP. Indeed, the IAB had considered attempting to join the ISO rather than maintaining its own standard-setting process through the IETF, but the ISO’s rejection of TCP/IP (the standard that ultimately won out) in part caused the IAB to remain independent of other standard-setting bodies</w:t>
      </w:r>
      <w:r w:rsidR="001D72DC">
        <w:rPr>
          <w:rFonts w:eastAsia="Times New Roman" w:cs="Times New Roman"/>
          <w:color w:val="000000"/>
          <w:szCs w:val="24"/>
        </w:rPr>
        <w:t>.</w:t>
      </w:r>
      <w:r w:rsidR="001D72DC">
        <w:rPr>
          <w:rStyle w:val="FootnoteReference"/>
          <w:rFonts w:eastAsia="Times New Roman" w:cs="Times New Roman"/>
          <w:color w:val="000000"/>
          <w:szCs w:val="24"/>
        </w:rPr>
        <w:footnoteReference w:id="179"/>
      </w:r>
      <w:r w:rsidRPr="00EC79E0">
        <w:rPr>
          <w:rFonts w:eastAsia="Times New Roman" w:cs="Times New Roman"/>
          <w:color w:val="000000"/>
          <w:szCs w:val="24"/>
        </w:rPr>
        <w:t xml:space="preserve"> The IAB’s maintenance of independence, and its subsequent development of a standard-setting process that allowed every interested individual to participate, perhaps enabled more healthy competition and discussion within the Internet standards-setting process than would have occurred through a more formal “balanced” or corporatist process, in which different interest groups must have specific representation. </w:t>
      </w:r>
    </w:p>
    <w:p w14:paraId="482E3A33" w14:textId="77777777" w:rsidR="00924635" w:rsidRPr="00EC79E0" w:rsidRDefault="00924635" w:rsidP="00924635">
      <w:pPr>
        <w:spacing w:after="0" w:line="240" w:lineRule="auto"/>
        <w:rPr>
          <w:rFonts w:eastAsia="Times New Roman" w:cs="Times New Roman"/>
          <w:szCs w:val="24"/>
        </w:rPr>
      </w:pPr>
    </w:p>
    <w:p w14:paraId="307B8C65" w14:textId="4036FC30"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The other unique aspect of Internet standards is that due to the Internet’s defiance of traditional jurisdictional control–i.e., its crossing of boundaries and accessibility to all–literally any group of individuals can create new standards, albeit informal ones. Indeed, in some cases the IETF finds itself competing with the broader user community in its standards development. For example, while the IETF created a “a minimum set of guidelines for Network Etiquette (Netiquette),” individuals and small groups created their own “Netiquette” through FAQs, which are documents on the web that “attempt to distill some Internet wisdom, or Internet norms, for newcomers</w:t>
      </w:r>
      <w:r w:rsidR="001D72DC">
        <w:rPr>
          <w:rFonts w:eastAsia="Times New Roman" w:cs="Times New Roman"/>
          <w:color w:val="000000"/>
          <w:szCs w:val="24"/>
        </w:rPr>
        <w:t>.</w:t>
      </w:r>
      <w:r w:rsidRPr="00EC79E0">
        <w:rPr>
          <w:rFonts w:eastAsia="Times New Roman" w:cs="Times New Roman"/>
          <w:color w:val="000000"/>
          <w:szCs w:val="24"/>
        </w:rPr>
        <w:t>”</w:t>
      </w:r>
      <w:r w:rsidR="001D72DC">
        <w:rPr>
          <w:rStyle w:val="FootnoteReference"/>
          <w:rFonts w:eastAsia="Times New Roman" w:cs="Times New Roman"/>
          <w:color w:val="000000"/>
          <w:szCs w:val="24"/>
        </w:rPr>
        <w:footnoteReference w:id="180"/>
      </w:r>
      <w:r w:rsidRPr="00EC79E0">
        <w:rPr>
          <w:rFonts w:eastAsia="Times New Roman" w:cs="Times New Roman"/>
          <w:color w:val="000000"/>
          <w:szCs w:val="24"/>
        </w:rPr>
        <w:t xml:space="preserve"> This type of highly competitive, individual volunteer-driven standard setting has likely contributed to the success of the Internet while also exacerbating its challenges, including, for example, the “vigilante” justice to which Internet users sometimes resort</w:t>
      </w:r>
      <w:r w:rsidR="001D72DC">
        <w:rPr>
          <w:rFonts w:eastAsia="Times New Roman" w:cs="Times New Roman"/>
          <w:color w:val="000000"/>
          <w:szCs w:val="24"/>
        </w:rPr>
        <w:t>.</w:t>
      </w:r>
      <w:r w:rsidR="001D72DC">
        <w:rPr>
          <w:rStyle w:val="FootnoteReference"/>
          <w:rFonts w:eastAsia="Times New Roman" w:cs="Times New Roman"/>
          <w:color w:val="000000"/>
          <w:szCs w:val="24"/>
        </w:rPr>
        <w:footnoteReference w:id="181"/>
      </w:r>
      <w:r w:rsidRPr="00EC79E0">
        <w:rPr>
          <w:rFonts w:eastAsia="Times New Roman" w:cs="Times New Roman"/>
          <w:color w:val="000000"/>
          <w:szCs w:val="24"/>
        </w:rPr>
        <w:t xml:space="preserve"> Indeed, more recently, some of the major competing Web users’ approach to false news and harmful posts has elicited a great deal of international attention, with national efforts to address these problems often faltering. </w:t>
      </w:r>
      <w:r w:rsidR="002F0089">
        <w:rPr>
          <w:rFonts w:eastAsia="Times New Roman" w:cs="Times New Roman"/>
          <w:color w:val="000000"/>
          <w:szCs w:val="24"/>
        </w:rPr>
        <w:t xml:space="preserve">Although </w:t>
      </w:r>
      <w:r w:rsidRPr="00EC79E0">
        <w:rPr>
          <w:rFonts w:eastAsia="Times New Roman" w:cs="Times New Roman"/>
          <w:color w:val="000000"/>
          <w:szCs w:val="24"/>
        </w:rPr>
        <w:t>successful</w:t>
      </w:r>
      <w:r w:rsidR="000E1190">
        <w:rPr>
          <w:rFonts w:eastAsia="Times New Roman" w:cs="Times New Roman"/>
          <w:color w:val="000000"/>
          <w:szCs w:val="24"/>
        </w:rPr>
        <w:t xml:space="preserve"> in only limited ways</w:t>
      </w:r>
      <w:r w:rsidRPr="00EC79E0">
        <w:rPr>
          <w:rFonts w:eastAsia="Times New Roman" w:cs="Times New Roman"/>
          <w:color w:val="000000"/>
          <w:szCs w:val="24"/>
        </w:rPr>
        <w:t xml:space="preserve">, shared self-regulatory approaches have emerged to </w:t>
      </w:r>
      <w:r w:rsidR="000E1190">
        <w:rPr>
          <w:rFonts w:eastAsia="Times New Roman" w:cs="Times New Roman"/>
          <w:color w:val="000000"/>
          <w:szCs w:val="24"/>
        </w:rPr>
        <w:t xml:space="preserve">somewhat </w:t>
      </w:r>
      <w:r w:rsidRPr="00EC79E0">
        <w:rPr>
          <w:rFonts w:eastAsia="Times New Roman" w:cs="Times New Roman"/>
          <w:color w:val="000000"/>
          <w:szCs w:val="24"/>
        </w:rPr>
        <w:t>curb the massive expansion of harmful information on the Web. </w:t>
      </w:r>
    </w:p>
    <w:p w14:paraId="0EC5DEAE"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szCs w:val="24"/>
        </w:rPr>
        <w:br/>
      </w:r>
    </w:p>
    <w:p w14:paraId="57FC6079" w14:textId="77777777" w:rsidR="00924635" w:rsidRPr="00EC79E0" w:rsidRDefault="00924635" w:rsidP="00924635">
      <w:pPr>
        <w:numPr>
          <w:ilvl w:val="0"/>
          <w:numId w:val="22"/>
        </w:numPr>
        <w:spacing w:after="0" w:line="240" w:lineRule="auto"/>
        <w:jc w:val="both"/>
        <w:textAlignment w:val="baseline"/>
        <w:rPr>
          <w:rFonts w:eastAsia="Times New Roman" w:cs="Times New Roman"/>
          <w:color w:val="000000"/>
          <w:szCs w:val="24"/>
        </w:rPr>
      </w:pPr>
      <w:r w:rsidRPr="00EC79E0">
        <w:rPr>
          <w:rFonts w:eastAsia="Times New Roman" w:cs="Times New Roman"/>
          <w:color w:val="000000"/>
          <w:szCs w:val="24"/>
        </w:rPr>
        <w:t>The Critical Nature of Coordinated Standards</w:t>
      </w:r>
    </w:p>
    <w:p w14:paraId="080DE2B1" w14:textId="77777777" w:rsidR="00924635" w:rsidRPr="00EC79E0" w:rsidRDefault="00924635" w:rsidP="00924635">
      <w:pPr>
        <w:spacing w:after="0" w:line="240" w:lineRule="auto"/>
        <w:rPr>
          <w:rFonts w:eastAsia="Times New Roman" w:cs="Times New Roman"/>
          <w:szCs w:val="24"/>
        </w:rPr>
      </w:pPr>
    </w:p>
    <w:p w14:paraId="17BE66E3" w14:textId="62C8944A"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lastRenderedPageBreak/>
        <w:tab/>
        <w:t>Even more so than hydrogen, which required simultaneous development of standards from the production facility to pipelines, distribution lines, and end users, the Internet represented a critical need for an exceedingly complex array of standards, any of which could fail in the absence of sister standards for another component of the network. As Philip Weiser describes the Internet, it consists of four layers, including content (websites), the logical layers that allow Internet communications applications (browser software and media players), layers allowing communication among users, and the physical layer of wires and other technology that carry stored information to the user and allow users to access the internet.</w:t>
      </w:r>
      <w:r w:rsidR="00C3252B">
        <w:rPr>
          <w:rStyle w:val="FootnoteReference"/>
          <w:rFonts w:eastAsia="Times New Roman" w:cs="Times New Roman"/>
          <w:color w:val="000000"/>
          <w:szCs w:val="24"/>
        </w:rPr>
        <w:footnoteReference w:id="182"/>
      </w:r>
      <w:r w:rsidRPr="00EC79E0">
        <w:rPr>
          <w:rFonts w:eastAsia="Times New Roman" w:cs="Times New Roman"/>
          <w:color w:val="000000"/>
          <w:szCs w:val="24"/>
        </w:rPr>
        <w:t xml:space="preserve"> All of these layers are themselves quite complex. To name just a few of the complexities, the Internet required the development of standards or guiding norms in all of the following areas: </w:t>
      </w:r>
    </w:p>
    <w:p w14:paraId="7E7DC9FC" w14:textId="77777777" w:rsidR="00924635" w:rsidRPr="00EC79E0" w:rsidRDefault="00924635" w:rsidP="00924635">
      <w:pPr>
        <w:spacing w:after="0" w:line="240" w:lineRule="auto"/>
        <w:rPr>
          <w:rFonts w:eastAsia="Times New Roman" w:cs="Times New Roman"/>
          <w:szCs w:val="24"/>
        </w:rPr>
      </w:pPr>
    </w:p>
    <w:p w14:paraId="3ABAB93D" w14:textId="2396A6B6" w:rsidR="00924635" w:rsidRPr="00EC79E0" w:rsidRDefault="00924635" w:rsidP="00924635">
      <w:pPr>
        <w:spacing w:after="0" w:line="240" w:lineRule="auto"/>
        <w:ind w:left="720"/>
        <w:jc w:val="both"/>
        <w:rPr>
          <w:rFonts w:eastAsia="Times New Roman" w:cs="Times New Roman"/>
          <w:szCs w:val="24"/>
        </w:rPr>
      </w:pPr>
      <w:r w:rsidRPr="00EC79E0">
        <w:rPr>
          <w:rFonts w:eastAsia="Times New Roman" w:cs="Times New Roman"/>
          <w:color w:val="000000"/>
          <w:szCs w:val="24"/>
        </w:rPr>
        <w:t>[W]</w:t>
      </w:r>
      <w:proofErr w:type="spellStart"/>
      <w:r w:rsidRPr="00EC79E0">
        <w:rPr>
          <w:rFonts w:eastAsia="Times New Roman" w:cs="Times New Roman"/>
          <w:color w:val="000000"/>
          <w:szCs w:val="24"/>
        </w:rPr>
        <w:t>eb</w:t>
      </w:r>
      <w:proofErr w:type="spellEnd"/>
      <w:r w:rsidRPr="00EC79E0">
        <w:rPr>
          <w:rFonts w:eastAsia="Times New Roman" w:cs="Times New Roman"/>
          <w:color w:val="000000"/>
          <w:szCs w:val="24"/>
        </w:rPr>
        <w:t xml:space="preserve"> site terms of use; behavioral norms of virtual chat rooms and discussion groups; network administration guidelines; listserv moderator filtering; Internet service provider contracts; Usenet voting procedures;</w:t>
      </w:r>
      <w:r w:rsidRPr="00EC79E0">
        <w:rPr>
          <w:rFonts w:eastAsia="Times New Roman" w:cs="Times New Roman"/>
          <w:color w:val="000000"/>
          <w:sz w:val="14"/>
          <w:szCs w:val="14"/>
          <w:vertAlign w:val="superscript"/>
        </w:rPr>
        <w:t xml:space="preserve"> </w:t>
      </w:r>
      <w:r w:rsidRPr="00EC79E0">
        <w:rPr>
          <w:rFonts w:eastAsia="Times New Roman" w:cs="Times New Roman"/>
          <w:color w:val="000000"/>
          <w:szCs w:val="24"/>
        </w:rPr>
        <w:t>local area network acceptable use policies;</w:t>
      </w:r>
      <w:r w:rsidRPr="00EC79E0">
        <w:rPr>
          <w:rFonts w:eastAsia="Times New Roman" w:cs="Times New Roman"/>
          <w:color w:val="000000"/>
          <w:sz w:val="14"/>
          <w:szCs w:val="14"/>
          <w:vertAlign w:val="superscript"/>
        </w:rPr>
        <w:t xml:space="preserve"> </w:t>
      </w:r>
      <w:r w:rsidRPr="00EC79E0">
        <w:rPr>
          <w:rFonts w:eastAsia="Times New Roman" w:cs="Times New Roman"/>
          <w:color w:val="000000"/>
          <w:szCs w:val="24"/>
        </w:rPr>
        <w:t>newsgroup frequently-asked question files; decisions of virtual magistrates; help manners and programmers manuals for multiuser dimensions; the code embedded in browsers, servers, and digital content; and the technical protocols that enable intra- and internetwork communication</w:t>
      </w:r>
      <w:r w:rsidR="00C3252B">
        <w:rPr>
          <w:rFonts w:eastAsia="Times New Roman" w:cs="Times New Roman"/>
          <w:color w:val="000000"/>
          <w:szCs w:val="24"/>
        </w:rPr>
        <w:t>.</w:t>
      </w:r>
      <w:r w:rsidRPr="00EC79E0">
        <w:rPr>
          <w:rFonts w:eastAsia="Times New Roman" w:cs="Times New Roman"/>
          <w:color w:val="000000"/>
          <w:szCs w:val="24"/>
        </w:rPr>
        <w:t>”</w:t>
      </w:r>
      <w:r w:rsidR="00C3252B">
        <w:rPr>
          <w:rStyle w:val="FootnoteReference"/>
          <w:rFonts w:eastAsia="Times New Roman" w:cs="Times New Roman"/>
          <w:color w:val="000000"/>
          <w:szCs w:val="24"/>
        </w:rPr>
        <w:footnoteReference w:id="183"/>
      </w:r>
      <w:r w:rsidRPr="00EC79E0">
        <w:rPr>
          <w:rFonts w:eastAsia="Times New Roman" w:cs="Times New Roman"/>
          <w:color w:val="000000"/>
          <w:szCs w:val="24"/>
        </w:rPr>
        <w:t xml:space="preserve"> </w:t>
      </w:r>
    </w:p>
    <w:p w14:paraId="28613A32" w14:textId="77777777" w:rsidR="00924635" w:rsidRPr="00EC79E0" w:rsidRDefault="00924635" w:rsidP="00924635">
      <w:pPr>
        <w:spacing w:after="0" w:line="240" w:lineRule="auto"/>
        <w:rPr>
          <w:rFonts w:eastAsia="Times New Roman" w:cs="Times New Roman"/>
          <w:szCs w:val="24"/>
        </w:rPr>
      </w:pPr>
    </w:p>
    <w:p w14:paraId="35024C42"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Even if several government agencies could have feasibly worked together to simultaneously write these standards, or one umbrella agency could have identified all of these standards-based needs and written them at one time in whole cloth, it was unlikely that such efforts would have fully enabled an effective grid. Indeed, it was the highly technical nature of the grid, its defiance of any traditional political boundaries, and its limitless global reach that led courts, regulatory agencies such as the FCC, and many theorists to argue that self-regulation–or some other form of non-traditional governmental control–would be a key means of governing the Internet. Yet even self-regulation could have been inadequate in terms of supporting Internet innovation, particularly if different, competing standards emerged that prohibited the millions of networks within networks that make up the Internet from connecting to each other or allowing the free flow of information among networks. </w:t>
      </w:r>
    </w:p>
    <w:p w14:paraId="34344D61" w14:textId="77777777" w:rsidR="00924635" w:rsidRPr="00EC79E0" w:rsidRDefault="00924635" w:rsidP="00924635">
      <w:pPr>
        <w:spacing w:after="0" w:line="240" w:lineRule="auto"/>
        <w:rPr>
          <w:rFonts w:eastAsia="Times New Roman" w:cs="Times New Roman"/>
          <w:szCs w:val="24"/>
        </w:rPr>
      </w:pPr>
    </w:p>
    <w:p w14:paraId="55894E11" w14:textId="1BB33523"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lastRenderedPageBreak/>
        <w:tab/>
        <w:t>For this unwieldy, highly technical agglomeration of hardware, software, codes, wires, and the like–all in need of simultaneous development of standards–the IETF played a key role, providing a centralized, coordinating body from which the bulk of internet standards emerged</w:t>
      </w:r>
      <w:r w:rsidR="00C3252B">
        <w:rPr>
          <w:rFonts w:eastAsia="Times New Roman" w:cs="Times New Roman"/>
          <w:color w:val="000000"/>
          <w:szCs w:val="24"/>
        </w:rPr>
        <w:t>.</w:t>
      </w:r>
      <w:r w:rsidR="00C3252B">
        <w:rPr>
          <w:rStyle w:val="FootnoteReference"/>
          <w:rFonts w:eastAsia="Times New Roman" w:cs="Times New Roman"/>
          <w:color w:val="000000"/>
          <w:szCs w:val="24"/>
        </w:rPr>
        <w:footnoteReference w:id="184"/>
      </w:r>
    </w:p>
    <w:p w14:paraId="0F84B520" w14:textId="77777777" w:rsidR="00924635" w:rsidRPr="00EC79E0" w:rsidRDefault="00924635" w:rsidP="00924635">
      <w:pPr>
        <w:spacing w:after="0" w:line="240" w:lineRule="auto"/>
        <w:rPr>
          <w:rFonts w:eastAsia="Times New Roman" w:cs="Times New Roman"/>
          <w:szCs w:val="24"/>
        </w:rPr>
      </w:pPr>
      <w:r w:rsidRPr="00EC79E0">
        <w:rPr>
          <w:rFonts w:eastAsia="Times New Roman" w:cs="Times New Roman"/>
          <w:szCs w:val="24"/>
        </w:rPr>
        <w:br/>
      </w:r>
    </w:p>
    <w:p w14:paraId="71254305" w14:textId="77777777" w:rsidR="00924635" w:rsidRPr="00EC79E0" w:rsidRDefault="00924635" w:rsidP="00924635">
      <w:pPr>
        <w:numPr>
          <w:ilvl w:val="0"/>
          <w:numId w:val="23"/>
        </w:numPr>
        <w:spacing w:after="0" w:line="240" w:lineRule="auto"/>
        <w:jc w:val="both"/>
        <w:textAlignment w:val="baseline"/>
        <w:rPr>
          <w:rFonts w:eastAsia="Times New Roman" w:cs="Times New Roman"/>
          <w:color w:val="000000"/>
          <w:szCs w:val="24"/>
        </w:rPr>
      </w:pPr>
      <w:r w:rsidRPr="00EC79E0">
        <w:rPr>
          <w:rFonts w:eastAsia="Times New Roman" w:cs="Times New Roman"/>
          <w:color w:val="000000"/>
          <w:szCs w:val="24"/>
        </w:rPr>
        <w:t>Substantive and Jurisdictional Certainty and Flexibility</w:t>
      </w:r>
    </w:p>
    <w:p w14:paraId="3D891213" w14:textId="77777777" w:rsidR="00924635" w:rsidRPr="00EC79E0" w:rsidRDefault="00924635" w:rsidP="00924635">
      <w:pPr>
        <w:spacing w:after="0" w:line="240" w:lineRule="auto"/>
        <w:rPr>
          <w:rFonts w:eastAsia="Times New Roman" w:cs="Times New Roman"/>
          <w:szCs w:val="24"/>
        </w:rPr>
      </w:pPr>
    </w:p>
    <w:p w14:paraId="4E873519" w14:textId="1BBB0C09"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Beyond coordination challenges, the Internet represented a classic case of a need for both regulatory certainty–particularly given the deep path dependence of Internet standards–and flexibility as the Internet rapidly evolved. Path dependence arises when “past decisions regarding product or standard choice will dictate the choices made in the future,” and self-regulation theorists identify path dependence as one of the features that tends to drive self-regulation</w:t>
      </w:r>
      <w:r w:rsidR="001B14F7">
        <w:rPr>
          <w:rFonts w:eastAsia="Times New Roman" w:cs="Times New Roman"/>
          <w:color w:val="000000"/>
          <w:szCs w:val="24"/>
        </w:rPr>
        <w:t>.</w:t>
      </w:r>
      <w:r w:rsidR="001B14F7">
        <w:rPr>
          <w:rStyle w:val="FootnoteReference"/>
          <w:rFonts w:eastAsia="Times New Roman" w:cs="Times New Roman"/>
          <w:color w:val="000000"/>
          <w:szCs w:val="24"/>
        </w:rPr>
        <w:footnoteReference w:id="185"/>
      </w:r>
      <w:r w:rsidRPr="00EC79E0">
        <w:rPr>
          <w:rFonts w:eastAsia="Times New Roman" w:cs="Times New Roman"/>
          <w:color w:val="000000"/>
          <w:szCs w:val="24"/>
        </w:rPr>
        <w:t xml:space="preserve"> The Internet had strong path-dependence features, as with, for example, the choice of languages to use for web programming</w:t>
      </w:r>
      <w:r w:rsidR="001B14F7">
        <w:rPr>
          <w:rFonts w:eastAsia="Times New Roman" w:cs="Times New Roman"/>
          <w:color w:val="000000"/>
          <w:szCs w:val="24"/>
        </w:rPr>
        <w:t>.</w:t>
      </w:r>
      <w:r w:rsidR="001B14F7">
        <w:rPr>
          <w:rStyle w:val="FootnoteReference"/>
          <w:rFonts w:eastAsia="Times New Roman" w:cs="Times New Roman"/>
          <w:color w:val="000000"/>
          <w:szCs w:val="24"/>
        </w:rPr>
        <w:footnoteReference w:id="186"/>
      </w:r>
      <w:r w:rsidRPr="00EC79E0">
        <w:rPr>
          <w:rFonts w:eastAsia="Times New Roman" w:cs="Times New Roman"/>
          <w:color w:val="000000"/>
          <w:szCs w:val="24"/>
        </w:rPr>
        <w:t xml:space="preserve"> The cementing of a substantive public or private standard that would be broadly accepted and would endure as an accepted practice in the industry was therefore critical.</w:t>
      </w:r>
    </w:p>
    <w:p w14:paraId="340CE3E3" w14:textId="77777777" w:rsidR="00924635" w:rsidRPr="00EC79E0" w:rsidRDefault="00924635" w:rsidP="00924635">
      <w:pPr>
        <w:spacing w:after="0" w:line="240" w:lineRule="auto"/>
        <w:rPr>
          <w:rFonts w:eastAsia="Times New Roman" w:cs="Times New Roman"/>
          <w:szCs w:val="24"/>
        </w:rPr>
      </w:pPr>
    </w:p>
    <w:p w14:paraId="6D8F5334" w14:textId="7C530A84"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The need for jurisdictional certainty–in this case a new form of jurisdiction–was also central to the development of the Internet. Hydrogen remains jurisdictionally uncertain, largely because a true hydrogen economy will require interstate pipelines for which Congress has not yet specified   jurisdictional control over siting or construction</w:t>
      </w:r>
      <w:r w:rsidR="001B14F7">
        <w:rPr>
          <w:rFonts w:eastAsia="Times New Roman" w:cs="Times New Roman"/>
          <w:color w:val="000000"/>
          <w:szCs w:val="24"/>
        </w:rPr>
        <w:t>.</w:t>
      </w:r>
      <w:r w:rsidR="001B14F7">
        <w:rPr>
          <w:rStyle w:val="FootnoteReference"/>
          <w:rFonts w:eastAsia="Times New Roman" w:cs="Times New Roman"/>
          <w:color w:val="000000"/>
          <w:szCs w:val="24"/>
        </w:rPr>
        <w:footnoteReference w:id="187"/>
      </w:r>
      <w:r w:rsidRPr="00EC79E0">
        <w:rPr>
          <w:rFonts w:eastAsia="Times New Roman" w:cs="Times New Roman"/>
          <w:color w:val="000000"/>
          <w:szCs w:val="24"/>
        </w:rPr>
        <w:t xml:space="preserve"> But the Internet represented even more uncertainty with respect to who should or even </w:t>
      </w:r>
      <w:r w:rsidRPr="00EC79E0">
        <w:rPr>
          <w:rFonts w:eastAsia="Times New Roman" w:cs="Times New Roman"/>
          <w:i/>
          <w:iCs/>
          <w:color w:val="000000"/>
          <w:szCs w:val="24"/>
        </w:rPr>
        <w:t xml:space="preserve">could </w:t>
      </w:r>
      <w:r w:rsidRPr="00EC79E0">
        <w:rPr>
          <w:rFonts w:eastAsia="Times New Roman" w:cs="Times New Roman"/>
          <w:color w:val="000000"/>
          <w:szCs w:val="24"/>
        </w:rPr>
        <w:t xml:space="preserve">regulate the Internet in the realm of public governance. Information on the Internet can cross hundreds of international boundaries within nanoseconds, leading numerous early </w:t>
      </w:r>
      <w:proofErr w:type="spellStart"/>
      <w:r w:rsidRPr="00EC79E0">
        <w:rPr>
          <w:rFonts w:eastAsia="Times New Roman" w:cs="Times New Roman"/>
          <w:color w:val="000000"/>
          <w:szCs w:val="24"/>
        </w:rPr>
        <w:t>cybertheorists</w:t>
      </w:r>
      <w:proofErr w:type="spellEnd"/>
      <w:r w:rsidRPr="00EC79E0">
        <w:rPr>
          <w:rFonts w:eastAsia="Times New Roman" w:cs="Times New Roman"/>
          <w:color w:val="000000"/>
          <w:szCs w:val="24"/>
        </w:rPr>
        <w:t xml:space="preserve"> and courts to conclude that national control over the Internet was doomed to fail.</w:t>
      </w:r>
      <w:r w:rsidR="00E81BAC">
        <w:rPr>
          <w:rStyle w:val="FootnoteReference"/>
          <w:rFonts w:eastAsia="Times New Roman" w:cs="Times New Roman"/>
          <w:color w:val="000000"/>
          <w:szCs w:val="24"/>
        </w:rPr>
        <w:footnoteReference w:id="188"/>
      </w:r>
      <w:r w:rsidRPr="00EC79E0">
        <w:rPr>
          <w:rFonts w:eastAsia="Times New Roman" w:cs="Times New Roman"/>
          <w:color w:val="000000"/>
          <w:szCs w:val="24"/>
        </w:rPr>
        <w:t xml:space="preserve"> In 1997, the Southern District of New York observed that “[t]he Internet is a network of networks—a decentralized, self-maintaining series of redundant links among computers and computer network” and concluded that “[n]o organization or entity controls the Internet; in fact, the chaotic, random structure of the Internet precludes any exercise of such control</w:t>
      </w:r>
      <w:r w:rsidR="00E81BAC">
        <w:rPr>
          <w:rFonts w:eastAsia="Times New Roman" w:cs="Times New Roman"/>
          <w:color w:val="000000"/>
          <w:szCs w:val="24"/>
        </w:rPr>
        <w:t>.</w:t>
      </w:r>
      <w:r w:rsidRPr="00EC79E0">
        <w:rPr>
          <w:rFonts w:eastAsia="Times New Roman" w:cs="Times New Roman"/>
          <w:color w:val="000000"/>
          <w:szCs w:val="24"/>
        </w:rPr>
        <w:t>”</w:t>
      </w:r>
      <w:r w:rsidR="00E81BAC">
        <w:rPr>
          <w:rStyle w:val="FootnoteReference"/>
          <w:rFonts w:eastAsia="Times New Roman" w:cs="Times New Roman"/>
          <w:color w:val="000000"/>
          <w:szCs w:val="24"/>
        </w:rPr>
        <w:footnoteReference w:id="189"/>
      </w:r>
      <w:r w:rsidRPr="00EC79E0">
        <w:rPr>
          <w:rFonts w:eastAsia="Times New Roman" w:cs="Times New Roman"/>
          <w:color w:val="000000"/>
          <w:szCs w:val="24"/>
        </w:rPr>
        <w:t xml:space="preserve"> The court nonetheless determined that laws such as the Commerce Clause could reasonably apply to the Internet and found that a New York law prohibiting </w:t>
      </w:r>
      <w:r w:rsidRPr="00EC79E0">
        <w:rPr>
          <w:rFonts w:eastAsia="Times New Roman" w:cs="Times New Roman"/>
          <w:color w:val="000000"/>
          <w:szCs w:val="24"/>
        </w:rPr>
        <w:lastRenderedPageBreak/>
        <w:t>the use of a computer to distribute obscene material impermissibly violated this clause by regulating conduct outside of New York’s borders</w:t>
      </w:r>
      <w:r w:rsidR="00E81BAC">
        <w:rPr>
          <w:rFonts w:eastAsia="Times New Roman" w:cs="Times New Roman"/>
          <w:color w:val="000000"/>
          <w:szCs w:val="24"/>
        </w:rPr>
        <w:t>.</w:t>
      </w:r>
      <w:r w:rsidR="00E81BAC">
        <w:rPr>
          <w:rStyle w:val="FootnoteReference"/>
          <w:rFonts w:eastAsia="Times New Roman" w:cs="Times New Roman"/>
          <w:color w:val="000000"/>
          <w:szCs w:val="24"/>
        </w:rPr>
        <w:footnoteReference w:id="190"/>
      </w:r>
    </w:p>
    <w:p w14:paraId="2E77E6A1" w14:textId="77777777" w:rsidR="00924635" w:rsidRPr="00EC79E0" w:rsidRDefault="00924635" w:rsidP="00924635">
      <w:pPr>
        <w:spacing w:after="0" w:line="240" w:lineRule="auto"/>
        <w:rPr>
          <w:rFonts w:eastAsia="Times New Roman" w:cs="Times New Roman"/>
          <w:szCs w:val="24"/>
        </w:rPr>
      </w:pPr>
    </w:p>
    <w:p w14:paraId="48D78854"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Given the lack of any clear governmental control over the Internet, private standards provided critical jurisdictional certainty in this space, with the IETF essentially initially serving as the international rule-setting body for the Internet. </w:t>
      </w:r>
    </w:p>
    <w:p w14:paraId="0F95D031" w14:textId="77777777" w:rsidR="00924635" w:rsidRPr="00EC79E0" w:rsidRDefault="00924635" w:rsidP="00924635">
      <w:pPr>
        <w:spacing w:after="0" w:line="240" w:lineRule="auto"/>
        <w:rPr>
          <w:rFonts w:eastAsia="Times New Roman" w:cs="Times New Roman"/>
          <w:szCs w:val="24"/>
        </w:rPr>
      </w:pPr>
    </w:p>
    <w:p w14:paraId="01609AD5" w14:textId="431CC31F" w:rsidR="00924635" w:rsidRDefault="00924635" w:rsidP="00924635">
      <w:pPr>
        <w:spacing w:after="0" w:line="240" w:lineRule="auto"/>
        <w:jc w:val="both"/>
        <w:rPr>
          <w:rFonts w:eastAsia="Times New Roman" w:cs="Times New Roman"/>
          <w:color w:val="000000"/>
          <w:szCs w:val="24"/>
        </w:rPr>
      </w:pPr>
      <w:r w:rsidRPr="00EC79E0">
        <w:rPr>
          <w:rFonts w:eastAsia="Times New Roman" w:cs="Times New Roman"/>
          <w:color w:val="000000"/>
          <w:szCs w:val="24"/>
        </w:rPr>
        <w:tab/>
        <w:t>In summary, the Internet provided early lessons that would foreshadow the importance of self-regulatory standards in numerous emerging, complex industries. At the same time, the development of standards for the Internet demonstrate</w:t>
      </w:r>
      <w:r w:rsidR="007049EA">
        <w:rPr>
          <w:rFonts w:eastAsia="Times New Roman" w:cs="Times New Roman"/>
          <w:color w:val="000000"/>
          <w:szCs w:val="24"/>
        </w:rPr>
        <w:t>s</w:t>
      </w:r>
      <w:r w:rsidRPr="00EC79E0">
        <w:rPr>
          <w:rFonts w:eastAsia="Times New Roman" w:cs="Times New Roman"/>
          <w:color w:val="000000"/>
          <w:szCs w:val="24"/>
        </w:rPr>
        <w:t xml:space="preserve"> the challenges of self-regulation–challenges that are familiar to anyone working to develop the hydrogen economy. </w:t>
      </w:r>
    </w:p>
    <w:p w14:paraId="11522A32" w14:textId="77777777" w:rsidR="007C1EF2" w:rsidRDefault="007C1EF2" w:rsidP="00924635">
      <w:pPr>
        <w:spacing w:after="0" w:line="240" w:lineRule="auto"/>
        <w:jc w:val="both"/>
        <w:rPr>
          <w:rFonts w:eastAsia="Times New Roman" w:cs="Times New Roman"/>
          <w:color w:val="000000"/>
          <w:szCs w:val="24"/>
        </w:rPr>
      </w:pPr>
    </w:p>
    <w:p w14:paraId="630179AF" w14:textId="30E43A82" w:rsidR="007C1EF2" w:rsidRDefault="007C1EF2" w:rsidP="005B59B3">
      <w:pPr>
        <w:pStyle w:val="Heading3"/>
        <w:rPr>
          <w:rFonts w:eastAsia="Times New Roman"/>
        </w:rPr>
      </w:pPr>
      <w:bookmarkStart w:id="49" w:name="_Toc141791880"/>
      <w:r>
        <w:rPr>
          <w:rFonts w:eastAsia="Times New Roman"/>
        </w:rPr>
        <w:t xml:space="preserve">C. Artificial Intelligence </w:t>
      </w:r>
      <w:r w:rsidR="00BE4144">
        <w:rPr>
          <w:rFonts w:eastAsia="Times New Roman"/>
        </w:rPr>
        <w:t>at the Cusp of Standards Development and Coordination</w:t>
      </w:r>
      <w:bookmarkEnd w:id="49"/>
      <w:r w:rsidR="00BE4144">
        <w:rPr>
          <w:rFonts w:eastAsia="Times New Roman"/>
        </w:rPr>
        <w:t xml:space="preserve"> </w:t>
      </w:r>
    </w:p>
    <w:p w14:paraId="3D06478A" w14:textId="77777777" w:rsidR="007C1EF2" w:rsidRDefault="007C1EF2" w:rsidP="00924635">
      <w:pPr>
        <w:spacing w:after="0" w:line="240" w:lineRule="auto"/>
        <w:jc w:val="both"/>
        <w:rPr>
          <w:rFonts w:eastAsia="Times New Roman" w:cs="Times New Roman"/>
          <w:color w:val="000000"/>
          <w:szCs w:val="24"/>
        </w:rPr>
      </w:pPr>
    </w:p>
    <w:p w14:paraId="343076B4" w14:textId="10ADAFA7" w:rsidR="008F1039" w:rsidRDefault="00A92113" w:rsidP="00924635">
      <w:pPr>
        <w:spacing w:after="0" w:line="240" w:lineRule="auto"/>
        <w:jc w:val="both"/>
        <w:rPr>
          <w:rFonts w:eastAsia="Times New Roman" w:cs="Times New Roman"/>
          <w:szCs w:val="24"/>
        </w:rPr>
      </w:pPr>
      <w:r>
        <w:rPr>
          <w:rFonts w:eastAsia="Times New Roman" w:cs="Times New Roman"/>
          <w:szCs w:val="24"/>
        </w:rPr>
        <w:tab/>
      </w:r>
      <w:r w:rsidR="00BE0E89">
        <w:rPr>
          <w:rFonts w:eastAsia="Times New Roman" w:cs="Times New Roman"/>
          <w:szCs w:val="24"/>
        </w:rPr>
        <w:t>The field of AI</w:t>
      </w:r>
      <w:r>
        <w:rPr>
          <w:rFonts w:eastAsia="Times New Roman" w:cs="Times New Roman"/>
          <w:szCs w:val="24"/>
        </w:rPr>
        <w:t xml:space="preserve"> </w:t>
      </w:r>
      <w:r w:rsidR="00ED22D0">
        <w:rPr>
          <w:rFonts w:eastAsia="Times New Roman" w:cs="Times New Roman"/>
          <w:szCs w:val="24"/>
        </w:rPr>
        <w:t>differs in some respects</w:t>
      </w:r>
      <w:r>
        <w:rPr>
          <w:rFonts w:eastAsia="Times New Roman" w:cs="Times New Roman"/>
          <w:szCs w:val="24"/>
        </w:rPr>
        <w:t xml:space="preserve"> from the two case studies explored </w:t>
      </w:r>
      <w:r w:rsidR="001C0C44">
        <w:rPr>
          <w:rFonts w:eastAsia="Times New Roman" w:cs="Times New Roman"/>
          <w:szCs w:val="24"/>
        </w:rPr>
        <w:t>thus far</w:t>
      </w:r>
      <w:r>
        <w:rPr>
          <w:rFonts w:eastAsia="Times New Roman" w:cs="Times New Roman"/>
          <w:szCs w:val="24"/>
        </w:rPr>
        <w:t xml:space="preserve">, although it, too, is emergent and “critical” in the sense of offering potentially </w:t>
      </w:r>
      <w:r w:rsidR="001C0C44">
        <w:rPr>
          <w:rFonts w:eastAsia="Times New Roman" w:cs="Times New Roman"/>
          <w:szCs w:val="24"/>
        </w:rPr>
        <w:t>world-changing</w:t>
      </w:r>
      <w:r>
        <w:rPr>
          <w:rFonts w:eastAsia="Times New Roman" w:cs="Times New Roman"/>
          <w:szCs w:val="24"/>
        </w:rPr>
        <w:t xml:space="preserve"> benefits yet also substantial harms. </w:t>
      </w:r>
      <w:r w:rsidR="00BE0E89">
        <w:rPr>
          <w:rFonts w:eastAsia="Times New Roman" w:cs="Times New Roman"/>
          <w:szCs w:val="24"/>
        </w:rPr>
        <w:t>AI as defined by NIST is “an engineered or machine-based system that can, for a given set of objectives, generate outputs such as predictions, recommendations, or decisions influencing real or virtual environments.”</w:t>
      </w:r>
      <w:r w:rsidR="00BE0E89">
        <w:rPr>
          <w:rStyle w:val="FootnoteReference"/>
          <w:rFonts w:eastAsia="Times New Roman" w:cs="Times New Roman"/>
          <w:szCs w:val="24"/>
        </w:rPr>
        <w:footnoteReference w:id="191"/>
      </w:r>
      <w:r w:rsidR="00BE0E89">
        <w:rPr>
          <w:rFonts w:eastAsia="Times New Roman" w:cs="Times New Roman"/>
          <w:szCs w:val="24"/>
        </w:rPr>
        <w:t xml:space="preserve">  </w:t>
      </w:r>
      <w:r w:rsidR="00A85932">
        <w:rPr>
          <w:rFonts w:eastAsia="Times New Roman" w:cs="Times New Roman"/>
          <w:szCs w:val="24"/>
        </w:rPr>
        <w:t>Large language models such as ChatGPT</w:t>
      </w:r>
      <w:r w:rsidR="001C0C44">
        <w:rPr>
          <w:rFonts w:eastAsia="Times New Roman" w:cs="Times New Roman"/>
          <w:szCs w:val="24"/>
        </w:rPr>
        <w:t xml:space="preserve">, in turn, </w:t>
      </w:r>
      <w:r w:rsidR="00A85932">
        <w:rPr>
          <w:rFonts w:eastAsia="Times New Roman" w:cs="Times New Roman"/>
          <w:szCs w:val="24"/>
        </w:rPr>
        <w:t>are a common</w:t>
      </w:r>
      <w:r w:rsidR="001C0C44">
        <w:rPr>
          <w:rFonts w:eastAsia="Times New Roman" w:cs="Times New Roman"/>
          <w:szCs w:val="24"/>
        </w:rPr>
        <w:t xml:space="preserve"> and rapidly changing</w:t>
      </w:r>
      <w:r w:rsidR="00A85932">
        <w:rPr>
          <w:rFonts w:eastAsia="Times New Roman" w:cs="Times New Roman"/>
          <w:szCs w:val="24"/>
        </w:rPr>
        <w:t xml:space="preserve"> form of AI</w:t>
      </w:r>
      <w:r w:rsidR="00A816F7">
        <w:rPr>
          <w:rFonts w:eastAsia="Times New Roman" w:cs="Times New Roman"/>
          <w:szCs w:val="24"/>
        </w:rPr>
        <w:t xml:space="preserve"> and involve “</w:t>
      </w:r>
      <w:r w:rsidR="00A816F7" w:rsidRPr="00A816F7">
        <w:rPr>
          <w:rFonts w:eastAsia="Times New Roman" w:cs="Times New Roman"/>
          <w:szCs w:val="24"/>
        </w:rPr>
        <w:t>a large-scale probability machine that predicts what word should follow next based on the data it has been trained on</w:t>
      </w:r>
      <w:r w:rsidR="00B8274F">
        <w:rPr>
          <w:rFonts w:eastAsia="Times New Roman" w:cs="Times New Roman"/>
          <w:szCs w:val="24"/>
        </w:rPr>
        <w:t>.”</w:t>
      </w:r>
      <w:r w:rsidR="00B8274F">
        <w:rPr>
          <w:rStyle w:val="FootnoteReference"/>
          <w:rFonts w:eastAsia="Times New Roman" w:cs="Times New Roman"/>
          <w:szCs w:val="24"/>
        </w:rPr>
        <w:footnoteReference w:id="192"/>
      </w:r>
    </w:p>
    <w:p w14:paraId="0E7ADC2A" w14:textId="77777777" w:rsidR="00B8274F" w:rsidRDefault="00B8274F" w:rsidP="00924635">
      <w:pPr>
        <w:spacing w:after="0" w:line="240" w:lineRule="auto"/>
        <w:jc w:val="both"/>
        <w:rPr>
          <w:rFonts w:eastAsia="Times New Roman" w:cs="Times New Roman"/>
          <w:szCs w:val="24"/>
        </w:rPr>
      </w:pPr>
    </w:p>
    <w:p w14:paraId="49094BEF" w14:textId="32EF6B6B" w:rsidR="008F1039" w:rsidRDefault="008F1039" w:rsidP="00403D85">
      <w:pPr>
        <w:spacing w:after="0" w:line="240" w:lineRule="auto"/>
        <w:ind w:firstLine="720"/>
        <w:jc w:val="both"/>
        <w:rPr>
          <w:rFonts w:eastAsia="Times New Roman" w:cs="Times New Roman"/>
          <w:szCs w:val="24"/>
        </w:rPr>
      </w:pPr>
      <w:r>
        <w:rPr>
          <w:rFonts w:eastAsia="Times New Roman" w:cs="Times New Roman"/>
          <w:szCs w:val="24"/>
        </w:rPr>
        <w:t>AI has been used for important applications in health, such as including “[p]</w:t>
      </w:r>
      <w:proofErr w:type="spellStart"/>
      <w:r>
        <w:rPr>
          <w:rFonts w:eastAsia="Times New Roman" w:cs="Times New Roman"/>
          <w:szCs w:val="24"/>
        </w:rPr>
        <w:t>redictors</w:t>
      </w:r>
      <w:proofErr w:type="spellEnd"/>
      <w:r>
        <w:rPr>
          <w:rFonts w:eastAsia="Times New Roman" w:cs="Times New Roman"/>
          <w:szCs w:val="24"/>
        </w:rPr>
        <w:t xml:space="preserve"> of health deterioration” within platforms that store health records, making health risk predictions at individual medical facilities, and identifying patients that should be transferred to intensive care.</w:t>
      </w:r>
      <w:r>
        <w:rPr>
          <w:rStyle w:val="FootnoteReference"/>
          <w:rFonts w:eastAsia="Times New Roman" w:cs="Times New Roman"/>
          <w:szCs w:val="24"/>
        </w:rPr>
        <w:footnoteReference w:id="193"/>
      </w:r>
      <w:r>
        <w:rPr>
          <w:rFonts w:eastAsia="Times New Roman" w:cs="Times New Roman"/>
          <w:szCs w:val="24"/>
        </w:rPr>
        <w:t xml:space="preserve"> AI has also helped to detect fraud or money laundering in financial systems, among other important applications (in addition to trivial ones, such as advanced </w:t>
      </w:r>
      <w:r>
        <w:rPr>
          <w:rFonts w:eastAsia="Times New Roman" w:cs="Times New Roman"/>
          <w:szCs w:val="24"/>
        </w:rPr>
        <w:lastRenderedPageBreak/>
        <w:t>recommendations for website perusal and shopping destinations).</w:t>
      </w:r>
      <w:r>
        <w:rPr>
          <w:rStyle w:val="FootnoteReference"/>
          <w:rFonts w:eastAsia="Times New Roman" w:cs="Times New Roman"/>
          <w:szCs w:val="24"/>
        </w:rPr>
        <w:footnoteReference w:id="194"/>
      </w:r>
      <w:r w:rsidR="00501161">
        <w:rPr>
          <w:rFonts w:eastAsia="Times New Roman" w:cs="Times New Roman"/>
          <w:szCs w:val="24"/>
        </w:rPr>
        <w:t xml:space="preserve"> </w:t>
      </w:r>
      <w:r w:rsidR="00896E91">
        <w:rPr>
          <w:rFonts w:eastAsia="Times New Roman" w:cs="Times New Roman"/>
          <w:szCs w:val="24"/>
        </w:rPr>
        <w:t>The technology is so game changing that one frequently hears forecasts that it will end work as we know it.</w:t>
      </w:r>
      <w:r w:rsidR="00896E91">
        <w:rPr>
          <w:rStyle w:val="FootnoteReference"/>
          <w:rFonts w:eastAsia="Times New Roman" w:cs="Times New Roman"/>
          <w:szCs w:val="24"/>
        </w:rPr>
        <w:footnoteReference w:id="195"/>
      </w:r>
    </w:p>
    <w:p w14:paraId="2DBBC74E" w14:textId="77777777" w:rsidR="008F1039" w:rsidRDefault="008F1039" w:rsidP="00924635">
      <w:pPr>
        <w:spacing w:after="0" w:line="240" w:lineRule="auto"/>
        <w:jc w:val="both"/>
        <w:rPr>
          <w:rFonts w:eastAsia="Times New Roman" w:cs="Times New Roman"/>
          <w:szCs w:val="24"/>
        </w:rPr>
      </w:pPr>
    </w:p>
    <w:p w14:paraId="2939634E" w14:textId="117EE4DB" w:rsidR="00BE0E89" w:rsidRDefault="00501161" w:rsidP="00403D85">
      <w:pPr>
        <w:spacing w:after="0" w:line="240" w:lineRule="auto"/>
        <w:ind w:firstLine="720"/>
        <w:jc w:val="both"/>
        <w:rPr>
          <w:rFonts w:eastAsia="Times New Roman" w:cs="Times New Roman"/>
          <w:szCs w:val="24"/>
        </w:rPr>
      </w:pPr>
      <w:r>
        <w:rPr>
          <w:rFonts w:eastAsia="Times New Roman" w:cs="Times New Roman"/>
          <w:szCs w:val="24"/>
        </w:rPr>
        <w:t>We briefly explore AI as a case study, despite some differences from hydrogen and the internet, because it is one of the most prominent examples of an emerging industry</w:t>
      </w:r>
      <w:r w:rsidR="00EF055B">
        <w:rPr>
          <w:rFonts w:eastAsia="Times New Roman" w:cs="Times New Roman"/>
          <w:szCs w:val="24"/>
        </w:rPr>
        <w:t>, and its regulatory journey—both private and public—is only just beginning</w:t>
      </w:r>
      <w:r>
        <w:rPr>
          <w:rFonts w:eastAsia="Times New Roman" w:cs="Times New Roman"/>
          <w:szCs w:val="24"/>
        </w:rPr>
        <w:t xml:space="preserve">. </w:t>
      </w:r>
      <w:r w:rsidR="00EF055B">
        <w:rPr>
          <w:rFonts w:eastAsia="Times New Roman" w:cs="Times New Roman"/>
          <w:szCs w:val="24"/>
        </w:rPr>
        <w:t xml:space="preserve">In terms of its differences from our other two examples, </w:t>
      </w:r>
      <w:commentRangeStart w:id="50"/>
      <w:commentRangeStart w:id="51"/>
      <w:r w:rsidR="00EF055B">
        <w:rPr>
          <w:rFonts w:eastAsia="Times New Roman" w:cs="Times New Roman"/>
          <w:szCs w:val="24"/>
        </w:rPr>
        <w:t xml:space="preserve">AI </w:t>
      </w:r>
      <w:r w:rsidR="00D31133">
        <w:rPr>
          <w:rFonts w:eastAsia="Times New Roman" w:cs="Times New Roman"/>
          <w:szCs w:val="24"/>
        </w:rPr>
        <w:t>as an industry</w:t>
      </w:r>
      <w:r w:rsidR="008F1039">
        <w:rPr>
          <w:rFonts w:eastAsia="Times New Roman" w:cs="Times New Roman"/>
          <w:szCs w:val="24"/>
        </w:rPr>
        <w:t xml:space="preserve"> is not</w:t>
      </w:r>
      <w:r w:rsidR="00BE0E89">
        <w:rPr>
          <w:rFonts w:eastAsia="Times New Roman" w:cs="Times New Roman"/>
          <w:szCs w:val="24"/>
        </w:rPr>
        <w:t xml:space="preserve"> particularly networked</w:t>
      </w:r>
      <w:r w:rsidR="00EF055B">
        <w:rPr>
          <w:rFonts w:eastAsia="Times New Roman" w:cs="Times New Roman"/>
          <w:szCs w:val="24"/>
        </w:rPr>
        <w:t>.</w:t>
      </w:r>
      <w:r w:rsidR="008F1039">
        <w:rPr>
          <w:rFonts w:eastAsia="Times New Roman" w:cs="Times New Roman"/>
          <w:szCs w:val="24"/>
        </w:rPr>
        <w:t xml:space="preserve"> </w:t>
      </w:r>
      <w:r w:rsidR="00EF055B">
        <w:rPr>
          <w:rFonts w:eastAsia="Times New Roman" w:cs="Times New Roman"/>
          <w:szCs w:val="24"/>
        </w:rPr>
        <w:t>It</w:t>
      </w:r>
      <w:r w:rsidR="00BE0E89">
        <w:rPr>
          <w:rFonts w:eastAsia="Times New Roman" w:cs="Times New Roman"/>
          <w:szCs w:val="24"/>
        </w:rPr>
        <w:t xml:space="preserve"> does not involve a group of disparate technologies and practices in different business sectors</w:t>
      </w:r>
      <w:r w:rsidR="00EF055B">
        <w:rPr>
          <w:rFonts w:eastAsia="Times New Roman" w:cs="Times New Roman"/>
          <w:szCs w:val="24"/>
        </w:rPr>
        <w:t xml:space="preserve"> that require coordination in order for the industry to be effective</w:t>
      </w:r>
      <w:commentRangeEnd w:id="50"/>
      <w:r w:rsidR="00EF055B">
        <w:rPr>
          <w:rStyle w:val="CommentReference"/>
        </w:rPr>
        <w:commentReference w:id="50"/>
      </w:r>
      <w:commentRangeEnd w:id="51"/>
      <w:r w:rsidR="00896E91">
        <w:rPr>
          <w:rStyle w:val="CommentReference"/>
        </w:rPr>
        <w:commentReference w:id="51"/>
      </w:r>
      <w:r w:rsidR="008F1039">
        <w:rPr>
          <w:rFonts w:eastAsia="Times New Roman" w:cs="Times New Roman"/>
          <w:szCs w:val="24"/>
        </w:rPr>
        <w:t>.</w:t>
      </w:r>
      <w:r w:rsidR="00896E91">
        <w:rPr>
          <w:rStyle w:val="FootnoteReference"/>
          <w:rFonts w:eastAsia="Times New Roman" w:cs="Times New Roman"/>
          <w:szCs w:val="24"/>
        </w:rPr>
        <w:footnoteReference w:id="196"/>
      </w:r>
      <w:r w:rsidR="00BE0E89">
        <w:rPr>
          <w:rFonts w:eastAsia="Times New Roman" w:cs="Times New Roman"/>
          <w:szCs w:val="24"/>
        </w:rPr>
        <w:t xml:space="preserve"> </w:t>
      </w:r>
      <w:r w:rsidR="008F1039">
        <w:rPr>
          <w:rFonts w:eastAsia="Times New Roman" w:cs="Times New Roman"/>
          <w:szCs w:val="24"/>
        </w:rPr>
        <w:t>Many</w:t>
      </w:r>
      <w:r w:rsidR="00BE0E89">
        <w:rPr>
          <w:rFonts w:eastAsia="Times New Roman" w:cs="Times New Roman"/>
          <w:szCs w:val="24"/>
        </w:rPr>
        <w:t xml:space="preserve"> AI applications draw </w:t>
      </w:r>
      <w:r w:rsidR="008F1039">
        <w:rPr>
          <w:rFonts w:eastAsia="Times New Roman" w:cs="Times New Roman"/>
          <w:szCs w:val="24"/>
        </w:rPr>
        <w:t xml:space="preserve">and connect </w:t>
      </w:r>
      <w:r w:rsidR="00BE0E89">
        <w:rPr>
          <w:rFonts w:eastAsia="Times New Roman" w:cs="Times New Roman"/>
          <w:szCs w:val="24"/>
        </w:rPr>
        <w:t>massive amounts of data from a variety of sources</w:t>
      </w:r>
      <w:r w:rsidR="008F1039">
        <w:rPr>
          <w:rFonts w:eastAsia="Times New Roman" w:cs="Times New Roman"/>
          <w:szCs w:val="24"/>
        </w:rPr>
        <w:t>, however, and</w:t>
      </w:r>
      <w:r w:rsidR="000B457F">
        <w:rPr>
          <w:rFonts w:eastAsia="Times New Roman" w:cs="Times New Roman"/>
          <w:szCs w:val="24"/>
        </w:rPr>
        <w:t xml:space="preserve"> AI’s </w:t>
      </w:r>
      <w:r w:rsidR="00A92113">
        <w:rPr>
          <w:rFonts w:eastAsia="Times New Roman" w:cs="Times New Roman"/>
          <w:szCs w:val="24"/>
        </w:rPr>
        <w:t>use in third-party applications</w:t>
      </w:r>
      <w:r w:rsidR="00D31133">
        <w:rPr>
          <w:rFonts w:eastAsia="Times New Roman" w:cs="Times New Roman"/>
          <w:szCs w:val="24"/>
        </w:rPr>
        <w:t xml:space="preserve"> through plugins </w:t>
      </w:r>
      <w:r w:rsidR="00A92113">
        <w:rPr>
          <w:rFonts w:eastAsia="Times New Roman" w:cs="Times New Roman"/>
          <w:szCs w:val="24"/>
        </w:rPr>
        <w:t>requires some degree of coordination.</w:t>
      </w:r>
      <w:r w:rsidR="008F1039">
        <w:rPr>
          <w:rStyle w:val="FootnoteReference"/>
          <w:rFonts w:eastAsia="Times New Roman" w:cs="Times New Roman"/>
          <w:szCs w:val="24"/>
        </w:rPr>
        <w:footnoteReference w:id="197"/>
      </w:r>
      <w:r w:rsidR="00A92113">
        <w:rPr>
          <w:rFonts w:eastAsia="Times New Roman" w:cs="Times New Roman"/>
          <w:szCs w:val="24"/>
        </w:rPr>
        <w:t xml:space="preserve"> </w:t>
      </w:r>
      <w:r w:rsidR="00110E5D">
        <w:rPr>
          <w:rFonts w:eastAsia="Times New Roman" w:cs="Times New Roman"/>
          <w:szCs w:val="24"/>
        </w:rPr>
        <w:t>Also in contrast with an industry such as hydrogen, the</w:t>
      </w:r>
      <w:r w:rsidR="00BE0E89">
        <w:rPr>
          <w:rFonts w:eastAsia="Times New Roman" w:cs="Times New Roman"/>
          <w:szCs w:val="24"/>
        </w:rPr>
        <w:t xml:space="preserve"> emergence of AI seems inevitable</w:t>
      </w:r>
      <w:r w:rsidR="00070F56">
        <w:rPr>
          <w:rFonts w:eastAsia="Times New Roman" w:cs="Times New Roman"/>
          <w:szCs w:val="24"/>
        </w:rPr>
        <w:t>, rather than depending to a meaningful degree on the existence of standards to, for example, address coordination difficulties or allay public fears.</w:t>
      </w:r>
      <w:r w:rsidR="00E003A3">
        <w:rPr>
          <w:rStyle w:val="FootnoteReference"/>
          <w:rFonts w:eastAsia="Times New Roman" w:cs="Times New Roman"/>
          <w:szCs w:val="24"/>
        </w:rPr>
        <w:footnoteReference w:id="198"/>
      </w:r>
      <w:r w:rsidR="00070F56">
        <w:rPr>
          <w:rFonts w:eastAsia="Times New Roman" w:cs="Times New Roman"/>
          <w:szCs w:val="24"/>
        </w:rPr>
        <w:t xml:space="preserve"> Yet</w:t>
      </w:r>
      <w:r w:rsidR="00110E5D">
        <w:rPr>
          <w:rFonts w:eastAsia="Times New Roman" w:cs="Times New Roman"/>
          <w:szCs w:val="24"/>
        </w:rPr>
        <w:t>, as with our other case studies and additional examples explore here, AI’s trajectory will in large part depend on the effectiveness of some combination of public and private standards. For example, s</w:t>
      </w:r>
      <w:r w:rsidR="0004168C">
        <w:rPr>
          <w:rFonts w:eastAsia="Times New Roman" w:cs="Times New Roman"/>
          <w:szCs w:val="24"/>
        </w:rPr>
        <w:t>ome</w:t>
      </w:r>
      <w:r w:rsidR="00110E5D">
        <w:rPr>
          <w:rFonts w:eastAsia="Times New Roman" w:cs="Times New Roman"/>
          <w:szCs w:val="24"/>
        </w:rPr>
        <w:t xml:space="preserve"> experts</w:t>
      </w:r>
      <w:r w:rsidR="0004168C">
        <w:rPr>
          <w:rFonts w:eastAsia="Times New Roman" w:cs="Times New Roman"/>
          <w:szCs w:val="24"/>
        </w:rPr>
        <w:t xml:space="preserve"> have expressed</w:t>
      </w:r>
      <w:r w:rsidR="00070F56">
        <w:rPr>
          <w:rFonts w:eastAsia="Times New Roman" w:cs="Times New Roman"/>
          <w:szCs w:val="24"/>
        </w:rPr>
        <w:t xml:space="preserve"> concern</w:t>
      </w:r>
      <w:r w:rsidR="0004168C">
        <w:rPr>
          <w:rFonts w:eastAsia="Times New Roman" w:cs="Times New Roman"/>
          <w:szCs w:val="24"/>
        </w:rPr>
        <w:t>s</w:t>
      </w:r>
      <w:r w:rsidR="00070F56">
        <w:rPr>
          <w:rFonts w:eastAsia="Times New Roman" w:cs="Times New Roman"/>
          <w:szCs w:val="24"/>
        </w:rPr>
        <w:t xml:space="preserve"> about </w:t>
      </w:r>
      <w:r w:rsidR="00A97FEB">
        <w:rPr>
          <w:rFonts w:eastAsia="Times New Roman" w:cs="Times New Roman"/>
          <w:szCs w:val="24"/>
        </w:rPr>
        <w:t>emerging regulation</w:t>
      </w:r>
      <w:r w:rsidR="008F0FE7">
        <w:rPr>
          <w:rFonts w:eastAsia="Times New Roman" w:cs="Times New Roman"/>
          <w:szCs w:val="24"/>
        </w:rPr>
        <w:t>s</w:t>
      </w:r>
      <w:r w:rsidR="00A97FEB">
        <w:rPr>
          <w:rFonts w:eastAsia="Times New Roman" w:cs="Times New Roman"/>
          <w:szCs w:val="24"/>
        </w:rPr>
        <w:t xml:space="preserve"> that create “significant precedent,” in a negative sense, for the industry, such as deletion of entire machine learning models and algorithms by regulators.</w:t>
      </w:r>
      <w:r w:rsidR="00A97FEB">
        <w:rPr>
          <w:rStyle w:val="FootnoteReference"/>
          <w:rFonts w:eastAsia="Times New Roman" w:cs="Times New Roman"/>
          <w:szCs w:val="24"/>
        </w:rPr>
        <w:footnoteReference w:id="199"/>
      </w:r>
      <w:r w:rsidR="00D31133">
        <w:rPr>
          <w:rFonts w:eastAsia="Times New Roman" w:cs="Times New Roman"/>
          <w:szCs w:val="24"/>
        </w:rPr>
        <w:t xml:space="preserve"> And as discussed below, there have already been bans and threatened temporary suspensions of AI products such as ChatGPT.</w:t>
      </w:r>
    </w:p>
    <w:p w14:paraId="0F580F33" w14:textId="77777777" w:rsidR="00BE0E89" w:rsidRDefault="00BE0E89" w:rsidP="00924635">
      <w:pPr>
        <w:spacing w:after="0" w:line="240" w:lineRule="auto"/>
        <w:jc w:val="both"/>
        <w:rPr>
          <w:rFonts w:eastAsia="Times New Roman" w:cs="Times New Roman"/>
          <w:szCs w:val="24"/>
        </w:rPr>
      </w:pPr>
    </w:p>
    <w:p w14:paraId="47CEA288" w14:textId="005D2BB8" w:rsidR="00A92113" w:rsidRDefault="00BE0E89" w:rsidP="00403D85">
      <w:pPr>
        <w:spacing w:after="0" w:line="240" w:lineRule="auto"/>
        <w:ind w:firstLine="720"/>
        <w:jc w:val="both"/>
        <w:rPr>
          <w:rFonts w:eastAsia="Times New Roman" w:cs="Times New Roman"/>
          <w:szCs w:val="24"/>
        </w:rPr>
      </w:pPr>
      <w:r>
        <w:rPr>
          <w:rFonts w:eastAsia="Times New Roman" w:cs="Times New Roman"/>
          <w:szCs w:val="24"/>
        </w:rPr>
        <w:lastRenderedPageBreak/>
        <w:t xml:space="preserve">Despite </w:t>
      </w:r>
      <w:r w:rsidR="00D31133">
        <w:rPr>
          <w:rFonts w:eastAsia="Times New Roman" w:cs="Times New Roman"/>
          <w:szCs w:val="24"/>
        </w:rPr>
        <w:t xml:space="preserve">some </w:t>
      </w:r>
      <w:r>
        <w:rPr>
          <w:rFonts w:eastAsia="Times New Roman" w:cs="Times New Roman"/>
          <w:szCs w:val="24"/>
        </w:rPr>
        <w:t xml:space="preserve">differences from the other case studies here, </w:t>
      </w:r>
      <w:r w:rsidR="0004168C">
        <w:rPr>
          <w:rFonts w:eastAsia="Times New Roman" w:cs="Times New Roman"/>
          <w:szCs w:val="24"/>
        </w:rPr>
        <w:t>t</w:t>
      </w:r>
      <w:r w:rsidR="00A92113">
        <w:rPr>
          <w:rFonts w:eastAsia="Times New Roman" w:cs="Times New Roman"/>
          <w:szCs w:val="24"/>
        </w:rPr>
        <w:t>he role of private standards</w:t>
      </w:r>
      <w:r w:rsidR="00110E5D">
        <w:rPr>
          <w:rFonts w:eastAsia="Times New Roman" w:cs="Times New Roman"/>
          <w:szCs w:val="24"/>
        </w:rPr>
        <w:t xml:space="preserve"> and the emerging application of existing public laws to </w:t>
      </w:r>
      <w:r w:rsidR="00A92113">
        <w:rPr>
          <w:rFonts w:eastAsia="Times New Roman" w:cs="Times New Roman"/>
          <w:szCs w:val="24"/>
        </w:rPr>
        <w:t>AI</w:t>
      </w:r>
      <w:r w:rsidR="0004168C">
        <w:rPr>
          <w:rFonts w:eastAsia="Times New Roman" w:cs="Times New Roman"/>
          <w:szCs w:val="24"/>
        </w:rPr>
        <w:t xml:space="preserve"> </w:t>
      </w:r>
      <w:r w:rsidR="00A92113">
        <w:rPr>
          <w:rFonts w:eastAsia="Times New Roman" w:cs="Times New Roman"/>
          <w:szCs w:val="24"/>
        </w:rPr>
        <w:t xml:space="preserve">shows just how important a suite of public-private rules can be to address the externalities of an emerging industry and to fill jurisdictional gaps as the industry rapidly expands. </w:t>
      </w:r>
      <w:r w:rsidR="009473A2">
        <w:rPr>
          <w:rFonts w:eastAsia="Times New Roman" w:cs="Times New Roman"/>
          <w:szCs w:val="24"/>
        </w:rPr>
        <w:t xml:space="preserve">It also demonstrates the importance of </w:t>
      </w:r>
      <w:r w:rsidR="00110E5D">
        <w:rPr>
          <w:rFonts w:eastAsia="Times New Roman" w:cs="Times New Roman"/>
          <w:szCs w:val="24"/>
        </w:rPr>
        <w:t>both g</w:t>
      </w:r>
      <w:r w:rsidR="009473A2">
        <w:rPr>
          <w:rFonts w:eastAsia="Times New Roman" w:cs="Times New Roman"/>
          <w:szCs w:val="24"/>
        </w:rPr>
        <w:t>overnment actors</w:t>
      </w:r>
      <w:r w:rsidR="00110E5D">
        <w:rPr>
          <w:rFonts w:eastAsia="Times New Roman" w:cs="Times New Roman"/>
          <w:szCs w:val="24"/>
        </w:rPr>
        <w:t xml:space="preserve"> and NGO actors</w:t>
      </w:r>
      <w:r w:rsidR="009473A2">
        <w:rPr>
          <w:rFonts w:eastAsia="Times New Roman" w:cs="Times New Roman"/>
          <w:szCs w:val="24"/>
        </w:rPr>
        <w:t xml:space="preserve"> in helping to coordinate private and public standards as they emerge</w:t>
      </w:r>
      <w:r w:rsidR="00110E5D">
        <w:rPr>
          <w:rFonts w:eastAsia="Times New Roman" w:cs="Times New Roman"/>
          <w:szCs w:val="24"/>
        </w:rPr>
        <w:t xml:space="preserve">, similar to the hydrogen story. </w:t>
      </w:r>
    </w:p>
    <w:p w14:paraId="7B44EF72" w14:textId="6D11D976" w:rsidR="007D73C0" w:rsidRDefault="007D73C0" w:rsidP="00924635">
      <w:pPr>
        <w:spacing w:after="0" w:line="240" w:lineRule="auto"/>
        <w:jc w:val="both"/>
        <w:rPr>
          <w:rFonts w:eastAsia="Times New Roman" w:cs="Times New Roman"/>
          <w:szCs w:val="24"/>
        </w:rPr>
      </w:pPr>
    </w:p>
    <w:p w14:paraId="3D4D813D" w14:textId="64A66B00" w:rsidR="00980596" w:rsidRDefault="000B7984" w:rsidP="00924635">
      <w:pPr>
        <w:spacing w:after="0" w:line="240" w:lineRule="auto"/>
        <w:jc w:val="both"/>
        <w:rPr>
          <w:rFonts w:eastAsia="Times New Roman" w:cs="Times New Roman"/>
          <w:szCs w:val="24"/>
        </w:rPr>
      </w:pPr>
      <w:r>
        <w:rPr>
          <w:rFonts w:eastAsia="Times New Roman" w:cs="Times New Roman"/>
          <w:szCs w:val="24"/>
        </w:rPr>
        <w:t>1</w:t>
      </w:r>
      <w:r w:rsidR="00727C7D">
        <w:rPr>
          <w:rFonts w:eastAsia="Times New Roman" w:cs="Times New Roman"/>
          <w:szCs w:val="24"/>
        </w:rPr>
        <w:t xml:space="preserve">. Regulatory Gaps and Uncertainty </w:t>
      </w:r>
    </w:p>
    <w:p w14:paraId="2FD9F055" w14:textId="77777777" w:rsidR="003A08EC" w:rsidRDefault="003A08EC" w:rsidP="00924635">
      <w:pPr>
        <w:spacing w:after="0" w:line="240" w:lineRule="auto"/>
        <w:jc w:val="both"/>
        <w:rPr>
          <w:rFonts w:eastAsia="Times New Roman" w:cs="Times New Roman"/>
          <w:szCs w:val="24"/>
        </w:rPr>
      </w:pPr>
    </w:p>
    <w:p w14:paraId="6A3F6328" w14:textId="6F146402" w:rsidR="005C3E2F" w:rsidRDefault="003A08EC" w:rsidP="00924635">
      <w:pPr>
        <w:spacing w:after="0" w:line="240" w:lineRule="auto"/>
        <w:jc w:val="both"/>
        <w:rPr>
          <w:rFonts w:eastAsia="Times New Roman" w:cs="Times New Roman"/>
          <w:szCs w:val="24"/>
        </w:rPr>
      </w:pPr>
      <w:r>
        <w:rPr>
          <w:rFonts w:eastAsia="Times New Roman" w:cs="Times New Roman"/>
          <w:szCs w:val="24"/>
        </w:rPr>
        <w:tab/>
        <w:t>Few existing U.S. statutes or regulations directly apply to AI</w:t>
      </w:r>
      <w:r w:rsidR="005C3E2F">
        <w:rPr>
          <w:rFonts w:eastAsia="Times New Roman" w:cs="Times New Roman"/>
          <w:szCs w:val="24"/>
        </w:rPr>
        <w:t>, and private standards are only slowly emerging</w:t>
      </w:r>
      <w:r>
        <w:rPr>
          <w:rFonts w:eastAsia="Times New Roman" w:cs="Times New Roman"/>
          <w:szCs w:val="24"/>
        </w:rPr>
        <w:t xml:space="preserve">. </w:t>
      </w:r>
      <w:r w:rsidR="005C3E2F">
        <w:rPr>
          <w:rFonts w:eastAsia="Times New Roman" w:cs="Times New Roman"/>
          <w:szCs w:val="24"/>
        </w:rPr>
        <w:t xml:space="preserve">Some would argue that the relative dearth of public governance is </w:t>
      </w:r>
      <w:r w:rsidR="00941217">
        <w:rPr>
          <w:rFonts w:eastAsia="Times New Roman" w:cs="Times New Roman"/>
          <w:szCs w:val="24"/>
        </w:rPr>
        <w:t xml:space="preserve">beneficial </w:t>
      </w:r>
      <w:r w:rsidR="005C3E2F">
        <w:rPr>
          <w:rFonts w:eastAsia="Times New Roman" w:cs="Times New Roman"/>
          <w:szCs w:val="24"/>
        </w:rPr>
        <w:t xml:space="preserve">given the highly complex and technical nature of AI </w:t>
      </w:r>
      <w:r w:rsidR="00941217">
        <w:rPr>
          <w:rFonts w:eastAsia="Times New Roman" w:cs="Times New Roman"/>
          <w:szCs w:val="24"/>
        </w:rPr>
        <w:t>that would lead to “clumsy” and quickly-outdated public regulation.</w:t>
      </w:r>
      <w:r w:rsidR="00DD772B">
        <w:rPr>
          <w:rStyle w:val="FootnoteReference"/>
          <w:rFonts w:eastAsia="Times New Roman" w:cs="Times New Roman"/>
          <w:szCs w:val="24"/>
        </w:rPr>
        <w:footnoteReference w:id="200"/>
      </w:r>
      <w:r w:rsidR="00941217">
        <w:rPr>
          <w:rFonts w:eastAsia="Times New Roman" w:cs="Times New Roman"/>
          <w:szCs w:val="24"/>
        </w:rPr>
        <w:t xml:space="preserve"> But in the same breath, those acknowledging the benefits of self-regulation for AI also </w:t>
      </w:r>
      <w:r w:rsidR="00076211">
        <w:rPr>
          <w:rFonts w:eastAsia="Times New Roman" w:cs="Times New Roman"/>
          <w:szCs w:val="24"/>
        </w:rPr>
        <w:t>worry that self-regulation in this area lacks adequate enforcement mechanisms</w:t>
      </w:r>
      <w:r w:rsidR="00DD772B">
        <w:rPr>
          <w:rFonts w:eastAsia="Times New Roman" w:cs="Times New Roman"/>
          <w:szCs w:val="24"/>
        </w:rPr>
        <w:t xml:space="preserve"> and the concern that self-regulatory mechanisms would not be mandatory.</w:t>
      </w:r>
      <w:r w:rsidR="00DD772B">
        <w:rPr>
          <w:rStyle w:val="FootnoteReference"/>
          <w:rFonts w:eastAsia="Times New Roman" w:cs="Times New Roman"/>
          <w:szCs w:val="24"/>
        </w:rPr>
        <w:footnoteReference w:id="201"/>
      </w:r>
      <w:r w:rsidR="00DD772B">
        <w:rPr>
          <w:rFonts w:eastAsia="Times New Roman" w:cs="Times New Roman"/>
          <w:szCs w:val="24"/>
        </w:rPr>
        <w:t xml:space="preserve"> </w:t>
      </w:r>
    </w:p>
    <w:p w14:paraId="0764426E" w14:textId="77777777" w:rsidR="005C3E2F" w:rsidRDefault="005C3E2F" w:rsidP="00924635">
      <w:pPr>
        <w:spacing w:after="0" w:line="240" w:lineRule="auto"/>
        <w:jc w:val="both"/>
        <w:rPr>
          <w:rFonts w:eastAsia="Times New Roman" w:cs="Times New Roman"/>
          <w:szCs w:val="24"/>
        </w:rPr>
      </w:pPr>
    </w:p>
    <w:p w14:paraId="56CFDD07" w14:textId="2511B295" w:rsidR="003A08EC" w:rsidRDefault="003A08EC" w:rsidP="00403D85">
      <w:pPr>
        <w:spacing w:after="0" w:line="240" w:lineRule="auto"/>
        <w:ind w:firstLine="720"/>
        <w:jc w:val="both"/>
        <w:rPr>
          <w:rFonts w:eastAsia="Times New Roman" w:cs="Times New Roman"/>
          <w:szCs w:val="24"/>
        </w:rPr>
      </w:pPr>
      <w:r>
        <w:rPr>
          <w:rFonts w:eastAsia="Times New Roman" w:cs="Times New Roman"/>
          <w:szCs w:val="24"/>
        </w:rPr>
        <w:t xml:space="preserve">The primary means of public </w:t>
      </w:r>
      <w:r w:rsidR="00DD772B">
        <w:rPr>
          <w:rFonts w:eastAsia="Times New Roman" w:cs="Times New Roman"/>
          <w:szCs w:val="24"/>
        </w:rPr>
        <w:t>regulation of AI</w:t>
      </w:r>
      <w:r>
        <w:rPr>
          <w:rFonts w:eastAsia="Times New Roman" w:cs="Times New Roman"/>
          <w:szCs w:val="24"/>
        </w:rPr>
        <w:t xml:space="preserve"> has been through the Federal Trade Commission, which monitors for and enforces issues such as deceptive advertising in AI (unsupported claims that it can perform in a superior way to other products, for example).</w:t>
      </w:r>
      <w:r w:rsidR="00F327B8">
        <w:rPr>
          <w:rStyle w:val="FootnoteReference"/>
          <w:rFonts w:eastAsia="Times New Roman" w:cs="Times New Roman"/>
          <w:szCs w:val="24"/>
        </w:rPr>
        <w:footnoteReference w:id="202"/>
      </w:r>
      <w:r>
        <w:rPr>
          <w:rFonts w:eastAsia="Times New Roman" w:cs="Times New Roman"/>
          <w:szCs w:val="24"/>
        </w:rPr>
        <w:t xml:space="preserve"> </w:t>
      </w:r>
      <w:r w:rsidR="00F24706">
        <w:rPr>
          <w:rFonts w:eastAsia="Times New Roman" w:cs="Times New Roman"/>
          <w:szCs w:val="24"/>
        </w:rPr>
        <w:t xml:space="preserve">The FTC has also used its jurisdiction over deceptive and misleading claims to enforce </w:t>
      </w:r>
      <w:r w:rsidR="001F6EAB">
        <w:rPr>
          <w:rFonts w:eastAsia="Times New Roman" w:cs="Times New Roman"/>
          <w:szCs w:val="24"/>
        </w:rPr>
        <w:t>AI’s</w:t>
      </w:r>
      <w:r w:rsidR="00187296">
        <w:rPr>
          <w:rFonts w:eastAsia="Times New Roman" w:cs="Times New Roman"/>
          <w:szCs w:val="24"/>
        </w:rPr>
        <w:t xml:space="preserve"> misleading of web users through practices such as “deepfakes and chatbots</w:t>
      </w:r>
      <w:r w:rsidR="00B46414">
        <w:rPr>
          <w:rFonts w:eastAsia="Times New Roman" w:cs="Times New Roman"/>
          <w:szCs w:val="24"/>
        </w:rPr>
        <w:t>.”</w:t>
      </w:r>
      <w:r w:rsidR="002D6395">
        <w:rPr>
          <w:rStyle w:val="FootnoteReference"/>
          <w:rFonts w:eastAsia="Times New Roman" w:cs="Times New Roman"/>
          <w:szCs w:val="24"/>
        </w:rPr>
        <w:footnoteReference w:id="203"/>
      </w:r>
      <w:r w:rsidR="00B46414">
        <w:rPr>
          <w:rFonts w:eastAsia="Times New Roman" w:cs="Times New Roman"/>
          <w:szCs w:val="24"/>
        </w:rPr>
        <w:t xml:space="preserve"> Further, it is enforcing companies’ use of </w:t>
      </w:r>
      <w:r w:rsidR="00E65917">
        <w:rPr>
          <w:rFonts w:eastAsia="Times New Roman" w:cs="Times New Roman"/>
          <w:szCs w:val="24"/>
        </w:rPr>
        <w:t xml:space="preserve">fraudulently </w:t>
      </w:r>
      <w:r w:rsidR="005B25CB">
        <w:rPr>
          <w:rFonts w:eastAsia="Times New Roman" w:cs="Times New Roman"/>
          <w:szCs w:val="24"/>
        </w:rPr>
        <w:t xml:space="preserve">or misleadingly </w:t>
      </w:r>
      <w:r w:rsidR="00E65917">
        <w:rPr>
          <w:rFonts w:eastAsia="Times New Roman" w:cs="Times New Roman"/>
          <w:szCs w:val="24"/>
        </w:rPr>
        <w:t xml:space="preserve">obtained data in algorithms, </w:t>
      </w:r>
      <w:r w:rsidR="001F6EAB">
        <w:rPr>
          <w:rFonts w:eastAsia="Times New Roman" w:cs="Times New Roman"/>
          <w:szCs w:val="24"/>
        </w:rPr>
        <w:t xml:space="preserve">in some cases </w:t>
      </w:r>
      <w:r w:rsidR="00E65917">
        <w:rPr>
          <w:rFonts w:eastAsia="Times New Roman" w:cs="Times New Roman"/>
          <w:szCs w:val="24"/>
        </w:rPr>
        <w:t>requiring algorithmic deletion</w:t>
      </w:r>
      <w:r w:rsidR="005B25CB">
        <w:rPr>
          <w:rFonts w:eastAsia="Times New Roman" w:cs="Times New Roman"/>
          <w:szCs w:val="24"/>
        </w:rPr>
        <w:t>—</w:t>
      </w:r>
      <w:r w:rsidR="001F6EAB">
        <w:rPr>
          <w:rFonts w:eastAsia="Times New Roman" w:cs="Times New Roman"/>
          <w:szCs w:val="24"/>
        </w:rPr>
        <w:t>“</w:t>
      </w:r>
      <w:r w:rsidR="005B25CB" w:rsidRPr="005B25CB">
        <w:rPr>
          <w:rFonts w:eastAsia="Times New Roman" w:cs="Times New Roman"/>
          <w:szCs w:val="24"/>
        </w:rPr>
        <w:t>the ordered deletion of computer data models or algorithms that were developed with improperly obtained data</w:t>
      </w:r>
      <w:r w:rsidR="005B25CB">
        <w:rPr>
          <w:rFonts w:eastAsia="Times New Roman" w:cs="Times New Roman"/>
          <w:szCs w:val="24"/>
        </w:rPr>
        <w:t>.</w:t>
      </w:r>
      <w:r w:rsidR="001F6EAB">
        <w:rPr>
          <w:rFonts w:eastAsia="Times New Roman" w:cs="Times New Roman"/>
          <w:szCs w:val="24"/>
        </w:rPr>
        <w:t>”</w:t>
      </w:r>
      <w:r w:rsidR="000652E8">
        <w:rPr>
          <w:rStyle w:val="FootnoteReference"/>
          <w:rFonts w:eastAsia="Times New Roman" w:cs="Times New Roman"/>
          <w:szCs w:val="24"/>
        </w:rPr>
        <w:footnoteReference w:id="204"/>
      </w:r>
    </w:p>
    <w:p w14:paraId="7F63ECE6" w14:textId="77777777" w:rsidR="00727C7D" w:rsidRDefault="00727C7D" w:rsidP="00924635">
      <w:pPr>
        <w:spacing w:after="0" w:line="240" w:lineRule="auto"/>
        <w:jc w:val="both"/>
        <w:rPr>
          <w:rFonts w:eastAsia="Times New Roman" w:cs="Times New Roman"/>
          <w:szCs w:val="24"/>
        </w:rPr>
      </w:pPr>
    </w:p>
    <w:p w14:paraId="2938A483" w14:textId="6CC213BE" w:rsidR="00727C7D" w:rsidRDefault="00727C7D" w:rsidP="00924635">
      <w:pPr>
        <w:spacing w:after="0" w:line="240" w:lineRule="auto"/>
        <w:jc w:val="both"/>
        <w:rPr>
          <w:rFonts w:eastAsia="Times New Roman" w:cs="Times New Roman"/>
          <w:szCs w:val="24"/>
        </w:rPr>
      </w:pPr>
      <w:r>
        <w:rPr>
          <w:rFonts w:eastAsia="Times New Roman" w:cs="Times New Roman"/>
          <w:szCs w:val="24"/>
        </w:rPr>
        <w:tab/>
        <w:t>Beyond the application of long-running standards for fraudulent and deceptive trade practices to this new technology, few public regulations apply to AI. This allows for potentially large negative externalities as AI grows</w:t>
      </w:r>
      <w:r w:rsidR="009C7060">
        <w:rPr>
          <w:rFonts w:eastAsia="Times New Roman" w:cs="Times New Roman"/>
          <w:szCs w:val="24"/>
        </w:rPr>
        <w:t>. It also</w:t>
      </w:r>
      <w:r>
        <w:rPr>
          <w:rFonts w:eastAsia="Times New Roman" w:cs="Times New Roman"/>
          <w:szCs w:val="24"/>
        </w:rPr>
        <w:t xml:space="preserve"> produces regulatory uncertainty</w:t>
      </w:r>
      <w:r w:rsidR="009C7060">
        <w:rPr>
          <w:rFonts w:eastAsia="Times New Roman" w:cs="Times New Roman"/>
          <w:szCs w:val="24"/>
        </w:rPr>
        <w:t xml:space="preserve">, including </w:t>
      </w:r>
      <w:r w:rsidR="0068341F">
        <w:rPr>
          <w:rFonts w:eastAsia="Times New Roman" w:cs="Times New Roman"/>
          <w:szCs w:val="24"/>
        </w:rPr>
        <w:t xml:space="preserve">bans and </w:t>
      </w:r>
      <w:r w:rsidR="009C7060">
        <w:rPr>
          <w:rFonts w:eastAsia="Times New Roman" w:cs="Times New Roman"/>
          <w:szCs w:val="24"/>
        </w:rPr>
        <w:t>threats of bans</w:t>
      </w:r>
      <w:r w:rsidR="0068341F">
        <w:rPr>
          <w:rFonts w:eastAsia="Times New Roman" w:cs="Times New Roman"/>
          <w:szCs w:val="24"/>
        </w:rPr>
        <w:t xml:space="preserve"> and moratoria</w:t>
      </w:r>
      <w:r w:rsidR="009C7060">
        <w:rPr>
          <w:rFonts w:eastAsia="Times New Roman" w:cs="Times New Roman"/>
          <w:szCs w:val="24"/>
        </w:rPr>
        <w:t xml:space="preserve">. </w:t>
      </w:r>
      <w:r w:rsidR="00EF5F6F">
        <w:rPr>
          <w:rFonts w:eastAsia="Times New Roman" w:cs="Times New Roman"/>
          <w:szCs w:val="24"/>
        </w:rPr>
        <w:t xml:space="preserve">For example, </w:t>
      </w:r>
      <w:r w:rsidR="00716DAC">
        <w:rPr>
          <w:rFonts w:eastAsia="Times New Roman" w:cs="Times New Roman"/>
          <w:szCs w:val="24"/>
        </w:rPr>
        <w:t>Italy temporarily</w:t>
      </w:r>
      <w:r w:rsidR="00EF5F6F">
        <w:rPr>
          <w:rFonts w:eastAsia="Times New Roman" w:cs="Times New Roman"/>
          <w:szCs w:val="24"/>
        </w:rPr>
        <w:t xml:space="preserve"> effectively </w:t>
      </w:r>
      <w:r w:rsidR="00716DAC">
        <w:rPr>
          <w:rFonts w:eastAsia="Times New Roman" w:cs="Times New Roman"/>
          <w:szCs w:val="24"/>
        </w:rPr>
        <w:t xml:space="preserve">banned ChatGPT, </w:t>
      </w:r>
      <w:r w:rsidR="00716DAC">
        <w:rPr>
          <w:rFonts w:eastAsia="Times New Roman" w:cs="Times New Roman"/>
          <w:szCs w:val="24"/>
        </w:rPr>
        <w:lastRenderedPageBreak/>
        <w:t>alleging violations of EU data protection rules.</w:t>
      </w:r>
      <w:r w:rsidR="00EF5F6F">
        <w:rPr>
          <w:rStyle w:val="FootnoteReference"/>
          <w:rFonts w:eastAsia="Times New Roman" w:cs="Times New Roman"/>
          <w:szCs w:val="24"/>
        </w:rPr>
        <w:footnoteReference w:id="205"/>
      </w:r>
      <w:r w:rsidR="00716DAC">
        <w:rPr>
          <w:rFonts w:eastAsia="Times New Roman" w:cs="Times New Roman"/>
          <w:szCs w:val="24"/>
        </w:rPr>
        <w:t xml:space="preserve"> And prominent </w:t>
      </w:r>
      <w:r w:rsidR="00EF5F6F">
        <w:rPr>
          <w:rFonts w:eastAsia="Times New Roman" w:cs="Times New Roman"/>
          <w:szCs w:val="24"/>
        </w:rPr>
        <w:t xml:space="preserve">industry leaders in the United States have called on the FTC to temporarily suspend </w:t>
      </w:r>
      <w:r w:rsidR="00C61664">
        <w:rPr>
          <w:rFonts w:eastAsia="Times New Roman" w:cs="Times New Roman"/>
          <w:szCs w:val="24"/>
        </w:rPr>
        <w:t>ChatGPT releases</w:t>
      </w:r>
      <w:r w:rsidR="00EF5F6F">
        <w:rPr>
          <w:rFonts w:eastAsia="Times New Roman" w:cs="Times New Roman"/>
          <w:szCs w:val="24"/>
        </w:rPr>
        <w:t>, alleging unfair and deceptive data practices.</w:t>
      </w:r>
      <w:r w:rsidR="0020288A">
        <w:rPr>
          <w:rStyle w:val="FootnoteReference"/>
          <w:rFonts w:eastAsia="Times New Roman" w:cs="Times New Roman"/>
          <w:szCs w:val="24"/>
        </w:rPr>
        <w:footnoteReference w:id="206"/>
      </w:r>
      <w:r w:rsidR="00EF5F6F">
        <w:rPr>
          <w:rFonts w:eastAsia="Times New Roman" w:cs="Times New Roman"/>
          <w:szCs w:val="24"/>
        </w:rPr>
        <w:t xml:space="preserve"> </w:t>
      </w:r>
      <w:r w:rsidR="003C3674">
        <w:rPr>
          <w:rFonts w:eastAsia="Times New Roman" w:cs="Times New Roman"/>
          <w:szCs w:val="24"/>
        </w:rPr>
        <w:t xml:space="preserve"> </w:t>
      </w:r>
    </w:p>
    <w:p w14:paraId="23B82626" w14:textId="77777777" w:rsidR="003C3674" w:rsidRDefault="003C3674" w:rsidP="00924635">
      <w:pPr>
        <w:spacing w:after="0" w:line="240" w:lineRule="auto"/>
        <w:jc w:val="both"/>
        <w:rPr>
          <w:rFonts w:eastAsia="Times New Roman" w:cs="Times New Roman"/>
          <w:szCs w:val="24"/>
        </w:rPr>
      </w:pPr>
    </w:p>
    <w:p w14:paraId="663CD136" w14:textId="5B2B7A47" w:rsidR="00863683" w:rsidRDefault="003C3674" w:rsidP="00924635">
      <w:pPr>
        <w:spacing w:after="0" w:line="240" w:lineRule="auto"/>
        <w:jc w:val="both"/>
        <w:rPr>
          <w:rFonts w:eastAsia="Times New Roman" w:cs="Times New Roman"/>
          <w:color w:val="000000"/>
          <w:szCs w:val="24"/>
        </w:rPr>
      </w:pPr>
      <w:r>
        <w:rPr>
          <w:rFonts w:eastAsia="Times New Roman" w:cs="Times New Roman"/>
          <w:szCs w:val="24"/>
        </w:rPr>
        <w:tab/>
        <w:t xml:space="preserve">Private standards and best practices are emerging in several different forms, although they are so new that it is not yet clear how they will be enforced or how effective they will be. </w:t>
      </w:r>
      <w:r w:rsidR="008064C0">
        <w:rPr>
          <w:rFonts w:eastAsia="Times New Roman" w:cs="Times New Roman"/>
          <w:szCs w:val="24"/>
        </w:rPr>
        <w:t>The Frontier Model Forum—a group of leading AI industries—</w:t>
      </w:r>
      <w:r w:rsidR="003D6A32">
        <w:rPr>
          <w:rFonts w:eastAsia="Times New Roman" w:cs="Times New Roman"/>
          <w:szCs w:val="24"/>
        </w:rPr>
        <w:t xml:space="preserve">launched in July 2023 and </w:t>
      </w:r>
      <w:r w:rsidR="008064C0">
        <w:rPr>
          <w:rFonts w:eastAsia="Times New Roman" w:cs="Times New Roman"/>
          <w:szCs w:val="24"/>
        </w:rPr>
        <w:t>has not yet issued standards</w:t>
      </w:r>
      <w:r w:rsidR="003D6A32">
        <w:rPr>
          <w:rFonts w:eastAsia="Times New Roman" w:cs="Times New Roman"/>
          <w:szCs w:val="24"/>
        </w:rPr>
        <w:t>.</w:t>
      </w:r>
      <w:r w:rsidR="003D6A32">
        <w:rPr>
          <w:rStyle w:val="FootnoteReference"/>
          <w:rFonts w:eastAsia="Times New Roman" w:cs="Times New Roman"/>
          <w:szCs w:val="24"/>
        </w:rPr>
        <w:footnoteReference w:id="207"/>
      </w:r>
      <w:r w:rsidR="003D6A32">
        <w:rPr>
          <w:rFonts w:eastAsia="Times New Roman" w:cs="Times New Roman"/>
          <w:szCs w:val="24"/>
        </w:rPr>
        <w:t xml:space="preserve"> The</w:t>
      </w:r>
      <w:r w:rsidR="008064C0">
        <w:rPr>
          <w:rFonts w:eastAsia="Times New Roman" w:cs="Times New Roman"/>
          <w:szCs w:val="24"/>
        </w:rPr>
        <w:t xml:space="preserve"> private standards already published by </w:t>
      </w:r>
      <w:r w:rsidR="003D6A32">
        <w:rPr>
          <w:rFonts w:eastAsia="Times New Roman" w:cs="Times New Roman"/>
          <w:szCs w:val="24"/>
        </w:rPr>
        <w:t xml:space="preserve">the Forum’s </w:t>
      </w:r>
      <w:r w:rsidR="008064C0">
        <w:rPr>
          <w:rFonts w:eastAsia="Times New Roman" w:cs="Times New Roman"/>
          <w:szCs w:val="24"/>
        </w:rPr>
        <w:t>major members</w:t>
      </w:r>
      <w:r w:rsidR="003D6A32">
        <w:rPr>
          <w:rFonts w:eastAsia="Times New Roman" w:cs="Times New Roman"/>
          <w:szCs w:val="24"/>
        </w:rPr>
        <w:t>, however,</w:t>
      </w:r>
      <w:r w:rsidR="008064C0">
        <w:rPr>
          <w:rFonts w:eastAsia="Times New Roman" w:cs="Times New Roman"/>
          <w:szCs w:val="24"/>
        </w:rPr>
        <w:t xml:space="preserve"> may foreshadow the likely content of consensus standards. OpenAI—the producer of ChatGPT--</w:t>
      </w:r>
      <w:r w:rsidR="008064C0">
        <w:rPr>
          <w:rFonts w:eastAsia="Times New Roman" w:cs="Times New Roman"/>
          <w:color w:val="000000"/>
          <w:szCs w:val="24"/>
        </w:rPr>
        <w:t>has developed policies for usage; content guidelines; and policies for plugins that connect OpenAI to third-part</w:t>
      </w:r>
      <w:r w:rsidR="003A57DF">
        <w:rPr>
          <w:rFonts w:eastAsia="Times New Roman" w:cs="Times New Roman"/>
          <w:color w:val="000000"/>
          <w:szCs w:val="24"/>
        </w:rPr>
        <w:t>y</w:t>
      </w:r>
      <w:r w:rsidR="008064C0">
        <w:rPr>
          <w:rFonts w:eastAsia="Times New Roman" w:cs="Times New Roman"/>
          <w:color w:val="000000"/>
          <w:szCs w:val="24"/>
        </w:rPr>
        <w:t xml:space="preserve"> applications, among other standards.</w:t>
      </w:r>
      <w:r w:rsidR="008064C0">
        <w:rPr>
          <w:rStyle w:val="FootnoteReference"/>
          <w:rFonts w:eastAsia="Times New Roman" w:cs="Times New Roman"/>
          <w:color w:val="000000"/>
          <w:szCs w:val="24"/>
        </w:rPr>
        <w:footnoteReference w:id="208"/>
      </w:r>
      <w:r w:rsidR="003A57DF">
        <w:rPr>
          <w:rFonts w:eastAsia="Times New Roman" w:cs="Times New Roman"/>
          <w:color w:val="000000"/>
          <w:szCs w:val="24"/>
        </w:rPr>
        <w:t xml:space="preserve"> Its list of prohibited uses is the most lengthy set</w:t>
      </w:r>
      <w:r w:rsidR="00863683">
        <w:rPr>
          <w:rFonts w:eastAsia="Times New Roman" w:cs="Times New Roman"/>
          <w:color w:val="000000"/>
          <w:szCs w:val="24"/>
        </w:rPr>
        <w:t xml:space="preserve"> of standards. To name just a few examples, OpenAI disallows “the use of our models, tools, and services for illegal activity”; sexual abuse; “hateful, harassing, or violent content”; “generation of malware”; activities with “high risk of physical harm” such as weapons development”; and activities with “high risk of economic harm” suc</w:t>
      </w:r>
      <w:r w:rsidR="00863328">
        <w:rPr>
          <w:rFonts w:eastAsia="Times New Roman" w:cs="Times New Roman"/>
          <w:color w:val="000000"/>
          <w:szCs w:val="24"/>
        </w:rPr>
        <w:t>h</w:t>
      </w:r>
      <w:r w:rsidR="00863683">
        <w:rPr>
          <w:rFonts w:eastAsia="Times New Roman" w:cs="Times New Roman"/>
          <w:color w:val="000000"/>
          <w:szCs w:val="24"/>
        </w:rPr>
        <w:t xml:space="preserve"> as gambling and payday lending.</w:t>
      </w:r>
      <w:bookmarkStart w:id="52" w:name="_Ref142256615"/>
      <w:r w:rsidR="00863683">
        <w:rPr>
          <w:rStyle w:val="FootnoteReference"/>
          <w:rFonts w:eastAsia="Times New Roman" w:cs="Times New Roman"/>
          <w:color w:val="000000"/>
          <w:szCs w:val="24"/>
        </w:rPr>
        <w:footnoteReference w:id="209"/>
      </w:r>
      <w:bookmarkEnd w:id="52"/>
      <w:r w:rsidR="00863328">
        <w:rPr>
          <w:rFonts w:eastAsia="Times New Roman" w:cs="Times New Roman"/>
          <w:color w:val="000000"/>
          <w:szCs w:val="24"/>
        </w:rPr>
        <w:t xml:space="preserve"> OpenAI indicates that it will enforce these standards by asking the user of an OpenAI product to “make necessary changes” if a violation is discovered </w:t>
      </w:r>
      <w:r w:rsidR="00C6133D">
        <w:rPr>
          <w:rFonts w:eastAsia="Times New Roman" w:cs="Times New Roman"/>
          <w:color w:val="000000"/>
          <w:szCs w:val="24"/>
        </w:rPr>
        <w:t>and potentially “suspending or terminating” a user’s account in the event of “[r]</w:t>
      </w:r>
      <w:proofErr w:type="spellStart"/>
      <w:r w:rsidR="00C6133D">
        <w:rPr>
          <w:rFonts w:eastAsia="Times New Roman" w:cs="Times New Roman"/>
          <w:color w:val="000000"/>
          <w:szCs w:val="24"/>
        </w:rPr>
        <w:t>epeated</w:t>
      </w:r>
      <w:proofErr w:type="spellEnd"/>
      <w:r w:rsidR="00C6133D">
        <w:rPr>
          <w:rFonts w:eastAsia="Times New Roman" w:cs="Times New Roman"/>
          <w:color w:val="000000"/>
          <w:szCs w:val="24"/>
        </w:rPr>
        <w:t xml:space="preserve"> or serious violations.”</w:t>
      </w:r>
      <w:r w:rsidR="00C6133D">
        <w:rPr>
          <w:rStyle w:val="FootnoteReference"/>
          <w:rFonts w:eastAsia="Times New Roman" w:cs="Times New Roman"/>
          <w:color w:val="000000"/>
          <w:szCs w:val="24"/>
        </w:rPr>
        <w:footnoteReference w:id="210"/>
      </w:r>
    </w:p>
    <w:p w14:paraId="0DC9FC91" w14:textId="77777777" w:rsidR="00863683" w:rsidRDefault="00863683" w:rsidP="00924635">
      <w:pPr>
        <w:spacing w:after="0" w:line="240" w:lineRule="auto"/>
        <w:jc w:val="both"/>
        <w:rPr>
          <w:rFonts w:eastAsia="Times New Roman" w:cs="Times New Roman"/>
          <w:color w:val="000000"/>
          <w:szCs w:val="24"/>
        </w:rPr>
      </w:pPr>
    </w:p>
    <w:p w14:paraId="24E3D591" w14:textId="0AC79CD3" w:rsidR="003C3674" w:rsidRDefault="0068341F" w:rsidP="00403D85">
      <w:pPr>
        <w:spacing w:after="0" w:line="240" w:lineRule="auto"/>
        <w:ind w:firstLine="720"/>
        <w:jc w:val="both"/>
        <w:rPr>
          <w:rFonts w:eastAsia="Times New Roman" w:cs="Times New Roman"/>
          <w:szCs w:val="24"/>
        </w:rPr>
      </w:pPr>
      <w:r>
        <w:rPr>
          <w:rFonts w:eastAsia="Times New Roman" w:cs="Times New Roman"/>
          <w:color w:val="000000"/>
          <w:szCs w:val="24"/>
        </w:rPr>
        <w:t xml:space="preserve">SSOs are also beginning to take a gap-filling role, </w:t>
      </w:r>
      <w:r w:rsidR="008064C0">
        <w:rPr>
          <w:rFonts w:eastAsia="Times New Roman" w:cs="Times New Roman"/>
          <w:color w:val="000000"/>
          <w:szCs w:val="24"/>
        </w:rPr>
        <w:t>with the National Institute of Standards and Technology (NIST) releasing an AI Risk Management Framework in January 2023.</w:t>
      </w:r>
      <w:bookmarkStart w:id="53" w:name="_Ref142256686"/>
      <w:r w:rsidR="008064C0">
        <w:rPr>
          <w:rStyle w:val="FootnoteReference"/>
          <w:rFonts w:eastAsia="Times New Roman" w:cs="Times New Roman"/>
          <w:color w:val="000000"/>
          <w:szCs w:val="24"/>
        </w:rPr>
        <w:footnoteReference w:id="211"/>
      </w:r>
      <w:bookmarkEnd w:id="53"/>
      <w:r w:rsidR="002B20EB">
        <w:rPr>
          <w:rFonts w:eastAsia="Times New Roman" w:cs="Times New Roman"/>
          <w:szCs w:val="24"/>
        </w:rPr>
        <w:t xml:space="preserve"> </w:t>
      </w:r>
      <w:r w:rsidR="00CA48EA">
        <w:rPr>
          <w:rFonts w:eastAsia="Times New Roman" w:cs="Times New Roman"/>
          <w:szCs w:val="24"/>
        </w:rPr>
        <w:t xml:space="preserve">This is a voluntary set of standards designed to </w:t>
      </w:r>
      <w:r w:rsidR="00B2720D">
        <w:rPr>
          <w:rFonts w:eastAsia="Times New Roman" w:cs="Times New Roman"/>
          <w:szCs w:val="24"/>
        </w:rPr>
        <w:t>“</w:t>
      </w:r>
      <w:r w:rsidR="00B2720D" w:rsidRPr="00B2720D">
        <w:rPr>
          <w:rFonts w:eastAsia="Times New Roman" w:cs="Times New Roman"/>
          <w:szCs w:val="24"/>
        </w:rPr>
        <w:t>to improve the ability to incorporate trustworthiness considerations into the design, development, use, and evaluation of AI products, services, and systems</w:t>
      </w:r>
      <w:r w:rsidR="00B2720D">
        <w:rPr>
          <w:rFonts w:eastAsia="Times New Roman" w:cs="Times New Roman"/>
          <w:szCs w:val="24"/>
        </w:rPr>
        <w:t>” and, accordingly, “</w:t>
      </w:r>
      <w:r w:rsidR="00B2720D" w:rsidRPr="00B2720D">
        <w:rPr>
          <w:rFonts w:eastAsia="Times New Roman" w:cs="Times New Roman"/>
          <w:szCs w:val="24"/>
        </w:rPr>
        <w:t xml:space="preserve">to better manage risks to </w:t>
      </w:r>
      <w:r w:rsidR="00B2720D" w:rsidRPr="00B2720D">
        <w:rPr>
          <w:rFonts w:eastAsia="Times New Roman" w:cs="Times New Roman"/>
          <w:szCs w:val="24"/>
        </w:rPr>
        <w:lastRenderedPageBreak/>
        <w:t>individuals, organizations, and society</w:t>
      </w:r>
      <w:r w:rsidR="00B2720D">
        <w:rPr>
          <w:rFonts w:eastAsia="Times New Roman" w:cs="Times New Roman"/>
          <w:szCs w:val="24"/>
        </w:rPr>
        <w:t>.”</w:t>
      </w:r>
      <w:r w:rsidR="00B2720D">
        <w:rPr>
          <w:rStyle w:val="FootnoteReference"/>
          <w:rFonts w:eastAsia="Times New Roman" w:cs="Times New Roman"/>
          <w:szCs w:val="24"/>
        </w:rPr>
        <w:footnoteReference w:id="212"/>
      </w:r>
      <w:r w:rsidR="0065348F">
        <w:rPr>
          <w:rFonts w:eastAsia="Times New Roman" w:cs="Times New Roman"/>
          <w:szCs w:val="24"/>
        </w:rPr>
        <w:t xml:space="preserve"> This consensus-based document, informed by </w:t>
      </w:r>
      <w:r w:rsidR="00D57FBB">
        <w:rPr>
          <w:rFonts w:eastAsia="Times New Roman" w:cs="Times New Roman"/>
          <w:szCs w:val="24"/>
        </w:rPr>
        <w:t xml:space="preserve">several </w:t>
      </w:r>
      <w:r w:rsidR="0065348F">
        <w:rPr>
          <w:rFonts w:eastAsia="Times New Roman" w:cs="Times New Roman"/>
          <w:szCs w:val="24"/>
        </w:rPr>
        <w:t>workshops with public and private stakehold</w:t>
      </w:r>
      <w:r w:rsidR="00D57FBB">
        <w:rPr>
          <w:rFonts w:eastAsia="Times New Roman" w:cs="Times New Roman"/>
          <w:szCs w:val="24"/>
        </w:rPr>
        <w:t xml:space="preserve">ers, a request for information, and public comments, </w:t>
      </w:r>
      <w:r w:rsidR="008D427B">
        <w:rPr>
          <w:rFonts w:eastAsia="Times New Roman" w:cs="Times New Roman"/>
          <w:szCs w:val="24"/>
        </w:rPr>
        <w:t xml:space="preserve">identifies </w:t>
      </w:r>
      <w:r w:rsidR="00090833">
        <w:rPr>
          <w:rFonts w:eastAsia="Times New Roman" w:cs="Times New Roman"/>
          <w:szCs w:val="24"/>
        </w:rPr>
        <w:t xml:space="preserve">seven central “characteristics of trustworthy AI systems,” such as systems that a “safe,” “secure &amp; resilient,” and “privacy-enhanced.” It then defines these characteristics in detail and </w:t>
      </w:r>
      <w:r w:rsidR="005B5CC5">
        <w:rPr>
          <w:rFonts w:eastAsia="Times New Roman" w:cs="Times New Roman"/>
          <w:szCs w:val="24"/>
        </w:rPr>
        <w:t xml:space="preserve">provides examples—at a broad level—of how the characteristics can be achieved. </w:t>
      </w:r>
      <w:r w:rsidR="0065348F">
        <w:rPr>
          <w:rFonts w:eastAsia="Times New Roman" w:cs="Times New Roman"/>
          <w:szCs w:val="24"/>
        </w:rPr>
        <w:t xml:space="preserve"> </w:t>
      </w:r>
      <w:r w:rsidR="00BB66C3">
        <w:rPr>
          <w:rFonts w:eastAsia="Times New Roman" w:cs="Times New Roman"/>
          <w:szCs w:val="24"/>
        </w:rPr>
        <w:t xml:space="preserve">For </w:t>
      </w:r>
      <w:r w:rsidR="00024935">
        <w:rPr>
          <w:rFonts w:eastAsia="Times New Roman" w:cs="Times New Roman"/>
          <w:szCs w:val="24"/>
        </w:rPr>
        <w:t>instance,</w:t>
      </w:r>
      <w:r w:rsidR="00BB66C3">
        <w:rPr>
          <w:rFonts w:eastAsia="Times New Roman" w:cs="Times New Roman"/>
          <w:szCs w:val="24"/>
        </w:rPr>
        <w:t xml:space="preserve"> under the characteristic of an “accountable and transparent” AI system, the Framework notes that </w:t>
      </w:r>
      <w:r w:rsidR="00024935">
        <w:rPr>
          <w:rFonts w:eastAsia="Times New Roman" w:cs="Times New Roman"/>
          <w:szCs w:val="24"/>
        </w:rPr>
        <w:t>“[t]</w:t>
      </w:r>
      <w:proofErr w:type="spellStart"/>
      <w:r w:rsidR="00024935">
        <w:rPr>
          <w:rFonts w:eastAsia="Times New Roman" w:cs="Times New Roman"/>
          <w:szCs w:val="24"/>
        </w:rPr>
        <w:t>ransparency</w:t>
      </w:r>
      <w:proofErr w:type="spellEnd"/>
      <w:r w:rsidR="00024935">
        <w:rPr>
          <w:rFonts w:eastAsia="Times New Roman" w:cs="Times New Roman"/>
          <w:szCs w:val="24"/>
        </w:rPr>
        <w:t xml:space="preserve"> should consider human-AI interaction: for example, how </w:t>
      </w:r>
      <w:r w:rsidR="008D7100">
        <w:rPr>
          <w:rFonts w:eastAsia="Times New Roman" w:cs="Times New Roman"/>
          <w:szCs w:val="24"/>
        </w:rPr>
        <w:t>a human operator or user is notified when a potential or actual adverse outcome caused by an AI system is detected.</w:t>
      </w:r>
      <w:r w:rsidR="00721DA0">
        <w:rPr>
          <w:rFonts w:eastAsia="Times New Roman" w:cs="Times New Roman"/>
          <w:szCs w:val="24"/>
        </w:rPr>
        <w:t>”</w:t>
      </w:r>
      <w:r w:rsidR="00721DA0">
        <w:rPr>
          <w:rStyle w:val="FootnoteReference"/>
          <w:rFonts w:eastAsia="Times New Roman" w:cs="Times New Roman"/>
          <w:szCs w:val="24"/>
        </w:rPr>
        <w:footnoteReference w:id="213"/>
      </w:r>
      <w:r w:rsidR="00721DA0">
        <w:rPr>
          <w:rFonts w:eastAsia="Times New Roman" w:cs="Times New Roman"/>
          <w:szCs w:val="24"/>
        </w:rPr>
        <w:t xml:space="preserve"> </w:t>
      </w:r>
      <w:r w:rsidR="008D7100">
        <w:rPr>
          <w:rFonts w:eastAsia="Times New Roman" w:cs="Times New Roman"/>
          <w:szCs w:val="24"/>
        </w:rPr>
        <w:t>The document also notes that AI actors should adjust their actions in a manner that is proportionate to potential harm, such as “when life and liberty are at stake” as a result of an AI system.</w:t>
      </w:r>
      <w:r w:rsidR="00FB1438">
        <w:rPr>
          <w:rStyle w:val="FootnoteReference"/>
          <w:rFonts w:eastAsia="Times New Roman" w:cs="Times New Roman"/>
          <w:szCs w:val="24"/>
        </w:rPr>
        <w:footnoteReference w:id="214"/>
      </w:r>
      <w:r w:rsidR="008D7100">
        <w:rPr>
          <w:rFonts w:eastAsia="Times New Roman" w:cs="Times New Roman"/>
          <w:szCs w:val="24"/>
        </w:rPr>
        <w:t xml:space="preserve"> </w:t>
      </w:r>
      <w:r w:rsidR="00024935">
        <w:rPr>
          <w:rFonts w:eastAsia="Times New Roman" w:cs="Times New Roman"/>
          <w:szCs w:val="24"/>
        </w:rPr>
        <w:t xml:space="preserve"> </w:t>
      </w:r>
    </w:p>
    <w:p w14:paraId="5CFBA281" w14:textId="77777777" w:rsidR="00A92113" w:rsidRDefault="00A92113" w:rsidP="00924635">
      <w:pPr>
        <w:spacing w:after="0" w:line="240" w:lineRule="auto"/>
        <w:jc w:val="both"/>
        <w:rPr>
          <w:rFonts w:eastAsia="Times New Roman" w:cs="Times New Roman"/>
          <w:szCs w:val="24"/>
        </w:rPr>
      </w:pPr>
    </w:p>
    <w:p w14:paraId="4E73F562" w14:textId="52D8F852" w:rsidR="00B81D9B" w:rsidRDefault="003071E9" w:rsidP="00924635">
      <w:pPr>
        <w:spacing w:after="0" w:line="240" w:lineRule="auto"/>
        <w:jc w:val="both"/>
        <w:rPr>
          <w:rFonts w:eastAsia="Times New Roman" w:cs="Times New Roman"/>
          <w:szCs w:val="24"/>
        </w:rPr>
      </w:pPr>
      <w:r>
        <w:rPr>
          <w:rFonts w:eastAsia="Times New Roman" w:cs="Times New Roman"/>
          <w:szCs w:val="24"/>
        </w:rPr>
        <w:tab/>
        <w:t xml:space="preserve">Public law directed specifically at AI </w:t>
      </w:r>
      <w:r w:rsidR="000B644A">
        <w:rPr>
          <w:rFonts w:eastAsia="Times New Roman" w:cs="Times New Roman"/>
          <w:szCs w:val="24"/>
        </w:rPr>
        <w:t>is sparse</w:t>
      </w:r>
      <w:r>
        <w:rPr>
          <w:rFonts w:eastAsia="Times New Roman" w:cs="Times New Roman"/>
          <w:szCs w:val="24"/>
        </w:rPr>
        <w:t>, although the federal government has defined AI by statute (in the John S. McCain National Defense Authorization Act of 2019)</w:t>
      </w:r>
      <w:r w:rsidR="00B96AD6">
        <w:rPr>
          <w:rFonts w:eastAsia="Times New Roman" w:cs="Times New Roman"/>
          <w:szCs w:val="24"/>
        </w:rPr>
        <w:t xml:space="preserve">, and President Trump issued policy guidance on AI in Executive Order 13859 </w:t>
      </w:r>
      <w:r w:rsidR="00C874B6">
        <w:rPr>
          <w:rFonts w:eastAsia="Times New Roman" w:cs="Times New Roman"/>
          <w:szCs w:val="24"/>
        </w:rPr>
        <w:t xml:space="preserve">in February 2019 and an associated </w:t>
      </w:r>
      <w:r w:rsidR="00326BF0">
        <w:rPr>
          <w:rFonts w:eastAsia="Times New Roman" w:cs="Times New Roman"/>
          <w:szCs w:val="24"/>
        </w:rPr>
        <w:t xml:space="preserve">Office of Management and Budget </w:t>
      </w:r>
      <w:r w:rsidR="00C874B6">
        <w:rPr>
          <w:rFonts w:eastAsia="Times New Roman" w:cs="Times New Roman"/>
          <w:szCs w:val="24"/>
        </w:rPr>
        <w:t>memorandum.</w:t>
      </w:r>
      <w:r w:rsidR="00C874B6">
        <w:rPr>
          <w:rStyle w:val="FootnoteReference"/>
          <w:rFonts w:eastAsia="Times New Roman" w:cs="Times New Roman"/>
          <w:szCs w:val="24"/>
        </w:rPr>
        <w:footnoteReference w:id="215"/>
      </w:r>
      <w:r w:rsidR="00D96C1C">
        <w:rPr>
          <w:rFonts w:eastAsia="Times New Roman" w:cs="Times New Roman"/>
          <w:szCs w:val="24"/>
        </w:rPr>
        <w:t xml:space="preserve"> The memorandum emphasized </w:t>
      </w:r>
      <w:r w:rsidR="00B81D9B">
        <w:rPr>
          <w:rFonts w:eastAsia="Times New Roman" w:cs="Times New Roman"/>
          <w:szCs w:val="24"/>
        </w:rPr>
        <w:t>a hands</w:t>
      </w:r>
      <w:r w:rsidR="00E22EF4">
        <w:rPr>
          <w:rFonts w:eastAsia="Times New Roman" w:cs="Times New Roman"/>
          <w:szCs w:val="24"/>
        </w:rPr>
        <w:t>-</w:t>
      </w:r>
      <w:r w:rsidR="00B81D9B">
        <w:rPr>
          <w:rFonts w:eastAsia="Times New Roman" w:cs="Times New Roman"/>
          <w:szCs w:val="24"/>
        </w:rPr>
        <w:t>off approach</w:t>
      </w:r>
      <w:r w:rsidR="00E22EF4">
        <w:rPr>
          <w:rFonts w:eastAsia="Times New Roman" w:cs="Times New Roman"/>
          <w:szCs w:val="24"/>
        </w:rPr>
        <w:t xml:space="preserve"> to AI regulation</w:t>
      </w:r>
      <w:r w:rsidR="00B81D9B">
        <w:rPr>
          <w:rFonts w:eastAsia="Times New Roman" w:cs="Times New Roman"/>
          <w:szCs w:val="24"/>
        </w:rPr>
        <w:t xml:space="preserve">, stating: </w:t>
      </w:r>
    </w:p>
    <w:p w14:paraId="7C2D30E1" w14:textId="77777777" w:rsidR="00B81D9B" w:rsidRDefault="00B81D9B" w:rsidP="00924635">
      <w:pPr>
        <w:spacing w:after="0" w:line="240" w:lineRule="auto"/>
        <w:jc w:val="both"/>
        <w:rPr>
          <w:rFonts w:eastAsia="Times New Roman" w:cs="Times New Roman"/>
          <w:szCs w:val="24"/>
        </w:rPr>
      </w:pPr>
    </w:p>
    <w:p w14:paraId="5720B5CB" w14:textId="443193DA" w:rsidR="003071E9" w:rsidRDefault="00B81D9B" w:rsidP="00403D85">
      <w:pPr>
        <w:spacing w:after="0" w:line="240" w:lineRule="auto"/>
        <w:ind w:left="720"/>
        <w:jc w:val="both"/>
        <w:rPr>
          <w:rFonts w:eastAsia="Times New Roman" w:cs="Times New Roman"/>
          <w:szCs w:val="24"/>
        </w:rPr>
      </w:pPr>
      <w:r>
        <w:rPr>
          <w:rFonts w:eastAsia="Times New Roman" w:cs="Times New Roman"/>
          <w:szCs w:val="24"/>
        </w:rPr>
        <w:t>. . . Federal agencies must avoid regulatory or non-regulatory actions that needlessly hampe</w:t>
      </w:r>
      <w:r w:rsidR="0095113A">
        <w:rPr>
          <w:rFonts w:eastAsia="Times New Roman" w:cs="Times New Roman"/>
          <w:szCs w:val="24"/>
        </w:rPr>
        <w:t>r</w:t>
      </w:r>
      <w:r>
        <w:rPr>
          <w:rFonts w:eastAsia="Times New Roman" w:cs="Times New Roman"/>
          <w:szCs w:val="24"/>
        </w:rPr>
        <w:t xml:space="preserve"> AI innovation and growth. Where permitted by law</w:t>
      </w:r>
      <w:r w:rsidR="00AF2A3F">
        <w:rPr>
          <w:rFonts w:eastAsia="Times New Roman" w:cs="Times New Roman"/>
          <w:szCs w:val="24"/>
        </w:rPr>
        <w:t xml:space="preserve">, when deciding whether and how to regulate in an area that may affect AI applications, agencies should assess the effect of the potential regulation on AI innovation and growth. </w:t>
      </w:r>
      <w:r w:rsidR="000E43F7">
        <w:rPr>
          <w:rFonts w:eastAsia="Times New Roman" w:cs="Times New Roman"/>
          <w:szCs w:val="24"/>
        </w:rPr>
        <w:t xml:space="preserve">While narrowly tailored and evidence-based regulations that address specific an identifiable risks could provide an enabling environment for </w:t>
      </w:r>
      <w:r w:rsidR="00326BF0">
        <w:rPr>
          <w:rFonts w:eastAsia="Times New Roman" w:cs="Times New Roman"/>
          <w:szCs w:val="24"/>
        </w:rPr>
        <w:t>U.S. companies to maintain global competitiveness, a</w:t>
      </w:r>
      <w:r w:rsidR="00AF2A3F">
        <w:rPr>
          <w:rFonts w:eastAsia="Times New Roman" w:cs="Times New Roman"/>
          <w:szCs w:val="24"/>
        </w:rPr>
        <w:t>gencies must avoid a precautionary approach that holds AI systems to such an impossibly high standard that society cannot enjoy their benefits</w:t>
      </w:r>
      <w:r w:rsidR="00326BF0">
        <w:rPr>
          <w:rFonts w:eastAsia="Times New Roman" w:cs="Times New Roman"/>
          <w:szCs w:val="24"/>
        </w:rPr>
        <w:t xml:space="preserve"> . . . </w:t>
      </w:r>
      <w:r w:rsidR="00AF2A3F">
        <w:rPr>
          <w:rFonts w:eastAsia="Times New Roman" w:cs="Times New Roman"/>
          <w:szCs w:val="24"/>
        </w:rPr>
        <w:t>.</w:t>
      </w:r>
      <w:r w:rsidR="00AF2A3F">
        <w:rPr>
          <w:rStyle w:val="FootnoteReference"/>
          <w:rFonts w:eastAsia="Times New Roman" w:cs="Times New Roman"/>
          <w:szCs w:val="24"/>
        </w:rPr>
        <w:footnoteReference w:id="216"/>
      </w:r>
      <w:r w:rsidR="00AF2A3F">
        <w:rPr>
          <w:rFonts w:eastAsia="Times New Roman" w:cs="Times New Roman"/>
          <w:szCs w:val="24"/>
        </w:rPr>
        <w:t xml:space="preserve"> </w:t>
      </w:r>
      <w:r w:rsidR="00D96C1C">
        <w:rPr>
          <w:rFonts w:eastAsia="Times New Roman" w:cs="Times New Roman"/>
          <w:szCs w:val="24"/>
        </w:rPr>
        <w:t xml:space="preserve"> </w:t>
      </w:r>
    </w:p>
    <w:p w14:paraId="03EB52C1" w14:textId="279385DD" w:rsidR="008D659F" w:rsidRDefault="008D659F" w:rsidP="00924635">
      <w:pPr>
        <w:spacing w:after="0" w:line="240" w:lineRule="auto"/>
        <w:jc w:val="both"/>
        <w:rPr>
          <w:rFonts w:eastAsia="Times New Roman" w:cs="Times New Roman"/>
          <w:szCs w:val="24"/>
        </w:rPr>
      </w:pPr>
    </w:p>
    <w:p w14:paraId="5D186561" w14:textId="51C922EA" w:rsidR="008D659F" w:rsidRDefault="008D659F" w:rsidP="00924635">
      <w:pPr>
        <w:spacing w:after="0" w:line="240" w:lineRule="auto"/>
        <w:jc w:val="both"/>
        <w:rPr>
          <w:rFonts w:eastAsia="Times New Roman" w:cs="Times New Roman"/>
          <w:szCs w:val="24"/>
        </w:rPr>
      </w:pPr>
      <w:r>
        <w:rPr>
          <w:rFonts w:eastAsia="Times New Roman" w:cs="Times New Roman"/>
          <w:szCs w:val="24"/>
        </w:rPr>
        <w:t xml:space="preserve">The memorandum listed </w:t>
      </w:r>
      <w:r w:rsidR="00113727">
        <w:rPr>
          <w:rFonts w:eastAsia="Times New Roman" w:cs="Times New Roman"/>
          <w:szCs w:val="24"/>
        </w:rPr>
        <w:t xml:space="preserve">ten high-level principles that federal agencies should follow when considering AI regulatory or non-regulatory actions, including, for example, cost-benefit approaches, </w:t>
      </w:r>
      <w:r w:rsidR="00482E6F">
        <w:rPr>
          <w:rFonts w:eastAsia="Times New Roman" w:cs="Times New Roman"/>
          <w:szCs w:val="24"/>
        </w:rPr>
        <w:t>public participation in AI rulemaking, performance-based flexible regulation, and fairness and non-</w:t>
      </w:r>
      <w:r w:rsidR="00482E6F">
        <w:rPr>
          <w:rFonts w:eastAsia="Times New Roman" w:cs="Times New Roman"/>
          <w:szCs w:val="24"/>
        </w:rPr>
        <w:lastRenderedPageBreak/>
        <w:t>discrimination.</w:t>
      </w:r>
      <w:r w:rsidR="00482E6F">
        <w:rPr>
          <w:rStyle w:val="FootnoteReference"/>
          <w:rFonts w:eastAsia="Times New Roman" w:cs="Times New Roman"/>
          <w:szCs w:val="24"/>
        </w:rPr>
        <w:footnoteReference w:id="217"/>
      </w:r>
      <w:r w:rsidR="00166301">
        <w:rPr>
          <w:rFonts w:eastAsia="Times New Roman" w:cs="Times New Roman"/>
          <w:szCs w:val="24"/>
        </w:rPr>
        <w:t xml:space="preserve"> A statute and executive order also guide the federal government’s use of AI.</w:t>
      </w:r>
      <w:r w:rsidR="00166301">
        <w:rPr>
          <w:rStyle w:val="FootnoteReference"/>
          <w:rFonts w:eastAsia="Times New Roman" w:cs="Times New Roman"/>
          <w:szCs w:val="24"/>
        </w:rPr>
        <w:footnoteReference w:id="218"/>
      </w:r>
    </w:p>
    <w:p w14:paraId="5209DE37" w14:textId="11642A4D" w:rsidR="00104D7B" w:rsidRDefault="00104D7B" w:rsidP="00924635">
      <w:pPr>
        <w:spacing w:after="0" w:line="240" w:lineRule="auto"/>
        <w:jc w:val="both"/>
        <w:rPr>
          <w:rFonts w:eastAsia="Times New Roman" w:cs="Times New Roman"/>
          <w:szCs w:val="24"/>
        </w:rPr>
      </w:pPr>
    </w:p>
    <w:p w14:paraId="387952D4" w14:textId="7B7C7AE8" w:rsidR="00104D7B" w:rsidRDefault="00104D7B" w:rsidP="00924635">
      <w:pPr>
        <w:spacing w:after="0" w:line="240" w:lineRule="auto"/>
        <w:jc w:val="both"/>
        <w:rPr>
          <w:rFonts w:eastAsia="Times New Roman" w:cs="Times New Roman"/>
          <w:szCs w:val="24"/>
        </w:rPr>
      </w:pPr>
      <w:r>
        <w:rPr>
          <w:rFonts w:eastAsia="Times New Roman" w:cs="Times New Roman"/>
          <w:szCs w:val="24"/>
        </w:rPr>
        <w:tab/>
      </w:r>
      <w:r w:rsidR="000B644A">
        <w:rPr>
          <w:rFonts w:eastAsia="Times New Roman" w:cs="Times New Roman"/>
          <w:szCs w:val="24"/>
        </w:rPr>
        <w:t xml:space="preserve">Some older statutes directed at specific professions, such as </w:t>
      </w:r>
      <w:r w:rsidR="00C612FB">
        <w:rPr>
          <w:rFonts w:eastAsia="Times New Roman" w:cs="Times New Roman"/>
          <w:szCs w:val="24"/>
        </w:rPr>
        <w:t xml:space="preserve">pathology, also provide limits on the acceptable use of AI and </w:t>
      </w:r>
      <w:r w:rsidR="00C30139">
        <w:rPr>
          <w:rFonts w:eastAsia="Times New Roman" w:cs="Times New Roman"/>
          <w:szCs w:val="24"/>
        </w:rPr>
        <w:t>requirements for the validation of algorithms.</w:t>
      </w:r>
      <w:r w:rsidR="00C30139">
        <w:rPr>
          <w:rStyle w:val="FootnoteReference"/>
          <w:rFonts w:eastAsia="Times New Roman" w:cs="Times New Roman"/>
          <w:szCs w:val="24"/>
        </w:rPr>
        <w:footnoteReference w:id="219"/>
      </w:r>
      <w:r w:rsidR="00C612FB">
        <w:rPr>
          <w:rFonts w:eastAsia="Times New Roman" w:cs="Times New Roman"/>
          <w:szCs w:val="24"/>
        </w:rPr>
        <w:t xml:space="preserve"> </w:t>
      </w:r>
      <w:r>
        <w:rPr>
          <w:rFonts w:eastAsia="Times New Roman" w:cs="Times New Roman"/>
          <w:szCs w:val="24"/>
        </w:rPr>
        <w:t xml:space="preserve">Beyond this, most federal governance of AI is designed to incentivize and further the growth of AI, through the creation of the National Artificial Intelligence </w:t>
      </w:r>
      <w:r w:rsidR="0033018B">
        <w:rPr>
          <w:rFonts w:eastAsia="Times New Roman" w:cs="Times New Roman"/>
          <w:szCs w:val="24"/>
        </w:rPr>
        <w:t>Initiative (and a federal office by the same name) in 2020</w:t>
      </w:r>
      <w:r w:rsidR="00E338C0">
        <w:rPr>
          <w:rFonts w:eastAsia="Times New Roman" w:cs="Times New Roman"/>
          <w:szCs w:val="24"/>
        </w:rPr>
        <w:t xml:space="preserve">, and </w:t>
      </w:r>
      <w:r w:rsidR="00074ADB">
        <w:rPr>
          <w:rFonts w:eastAsia="Times New Roman" w:cs="Times New Roman"/>
          <w:szCs w:val="24"/>
        </w:rPr>
        <w:t xml:space="preserve">a $100-million National Science Foundation Investment in </w:t>
      </w:r>
      <w:r w:rsidR="003C5999">
        <w:rPr>
          <w:rFonts w:eastAsia="Times New Roman" w:cs="Times New Roman"/>
          <w:szCs w:val="24"/>
        </w:rPr>
        <w:t>Artificial Intelligence Institutes.</w:t>
      </w:r>
      <w:r w:rsidR="003C5999">
        <w:rPr>
          <w:rStyle w:val="FootnoteReference"/>
          <w:rFonts w:eastAsia="Times New Roman" w:cs="Times New Roman"/>
          <w:szCs w:val="24"/>
        </w:rPr>
        <w:footnoteReference w:id="220"/>
      </w:r>
      <w:r w:rsidR="00E338C0">
        <w:rPr>
          <w:rFonts w:eastAsia="Times New Roman" w:cs="Times New Roman"/>
          <w:szCs w:val="24"/>
        </w:rPr>
        <w:t xml:space="preserve"> </w:t>
      </w:r>
      <w:r w:rsidR="0033018B">
        <w:rPr>
          <w:rFonts w:eastAsia="Times New Roman" w:cs="Times New Roman"/>
          <w:szCs w:val="24"/>
        </w:rPr>
        <w:t xml:space="preserve"> </w:t>
      </w:r>
    </w:p>
    <w:p w14:paraId="1B5D8B0C" w14:textId="77777777" w:rsidR="000B7984" w:rsidRDefault="000B7984" w:rsidP="00924635">
      <w:pPr>
        <w:spacing w:after="0" w:line="240" w:lineRule="auto"/>
        <w:jc w:val="both"/>
        <w:rPr>
          <w:rFonts w:eastAsia="Times New Roman" w:cs="Times New Roman"/>
          <w:szCs w:val="24"/>
        </w:rPr>
      </w:pPr>
    </w:p>
    <w:p w14:paraId="1F76021A" w14:textId="7FDA82D8" w:rsidR="000B7984" w:rsidRDefault="000B7984" w:rsidP="000B7984">
      <w:pPr>
        <w:spacing w:after="0" w:line="240" w:lineRule="auto"/>
        <w:ind w:left="360"/>
        <w:jc w:val="both"/>
        <w:rPr>
          <w:rFonts w:eastAsia="Times New Roman" w:cs="Times New Roman"/>
          <w:szCs w:val="24"/>
        </w:rPr>
      </w:pPr>
      <w:r>
        <w:rPr>
          <w:rFonts w:eastAsia="Times New Roman" w:cs="Times New Roman"/>
          <w:szCs w:val="24"/>
        </w:rPr>
        <w:t xml:space="preserve">2. </w:t>
      </w:r>
      <w:r w:rsidRPr="00403D85">
        <w:rPr>
          <w:rFonts w:eastAsia="Times New Roman" w:cs="Times New Roman"/>
          <w:szCs w:val="24"/>
        </w:rPr>
        <w:t xml:space="preserve">Coordination of Emerging Standards </w:t>
      </w:r>
    </w:p>
    <w:p w14:paraId="296BD14D" w14:textId="77777777" w:rsidR="000B7984" w:rsidRDefault="000B7984" w:rsidP="000B7984">
      <w:pPr>
        <w:spacing w:after="0" w:line="240" w:lineRule="auto"/>
        <w:jc w:val="both"/>
        <w:rPr>
          <w:rFonts w:eastAsia="Times New Roman" w:cs="Times New Roman"/>
          <w:szCs w:val="24"/>
        </w:rPr>
      </w:pPr>
    </w:p>
    <w:p w14:paraId="14DA9B05" w14:textId="06A309E7" w:rsidR="000B7984" w:rsidRDefault="000B7984" w:rsidP="000B7984">
      <w:pPr>
        <w:spacing w:after="0" w:line="240" w:lineRule="auto"/>
        <w:jc w:val="both"/>
        <w:rPr>
          <w:rFonts w:eastAsia="Times New Roman" w:cs="Times New Roman"/>
          <w:szCs w:val="24"/>
        </w:rPr>
      </w:pPr>
      <w:r>
        <w:rPr>
          <w:rFonts w:eastAsia="Times New Roman" w:cs="Times New Roman"/>
          <w:szCs w:val="24"/>
        </w:rPr>
        <w:tab/>
        <w:t xml:space="preserve">The standards emerging for AI are even more nascent </w:t>
      </w:r>
      <w:r w:rsidR="00E76B94">
        <w:rPr>
          <w:rFonts w:eastAsia="Times New Roman" w:cs="Times New Roman"/>
          <w:szCs w:val="24"/>
        </w:rPr>
        <w:t xml:space="preserve">than </w:t>
      </w:r>
      <w:r>
        <w:rPr>
          <w:rFonts w:eastAsia="Times New Roman" w:cs="Times New Roman"/>
          <w:szCs w:val="24"/>
        </w:rPr>
        <w:t>for hydrogen, and the coordination of standards seen in the hydrogen context has yet to occur. For hydrogen, industry associations have begun to coalesce around consensus standards, and the Department of Energy plays a coordinating role, highlighting gaps in the standards. The AI industry appears to be at an earlier point, with individual AI actors setting their own rules and only just beginning to coordinate themselves. Further, although the OMB has issued a guidance document for how public regulation of AI should proceed, there does not appear to a “coordinating champion” for public and private AI standards. The differences in approaches to private standards in the AI context—and differing opinions about the extent of public governance needed, were highlighted in a May 2023 congressional hearing</w:t>
      </w:r>
      <w:r w:rsidR="0036677E">
        <w:rPr>
          <w:rFonts w:eastAsia="Times New Roman" w:cs="Times New Roman"/>
          <w:szCs w:val="24"/>
        </w:rPr>
        <w:t xml:space="preserve"> on ChatGPT. </w:t>
      </w:r>
    </w:p>
    <w:p w14:paraId="46E2D9EB" w14:textId="77777777" w:rsidR="000325BA" w:rsidRDefault="000325BA" w:rsidP="000B7984">
      <w:pPr>
        <w:spacing w:after="0" w:line="240" w:lineRule="auto"/>
        <w:jc w:val="both"/>
        <w:rPr>
          <w:rFonts w:eastAsia="Times New Roman" w:cs="Times New Roman"/>
          <w:szCs w:val="24"/>
        </w:rPr>
      </w:pPr>
    </w:p>
    <w:p w14:paraId="031049AD" w14:textId="77777777" w:rsidR="00DF79B9" w:rsidRDefault="000325BA" w:rsidP="000B7984">
      <w:pPr>
        <w:spacing w:after="0" w:line="240" w:lineRule="auto"/>
        <w:jc w:val="both"/>
        <w:rPr>
          <w:rFonts w:eastAsia="Times New Roman" w:cs="Times New Roman"/>
          <w:szCs w:val="24"/>
        </w:rPr>
      </w:pPr>
      <w:r>
        <w:rPr>
          <w:rFonts w:eastAsia="Times New Roman" w:cs="Times New Roman"/>
          <w:szCs w:val="24"/>
        </w:rPr>
        <w:tab/>
        <w:t xml:space="preserve">Sam Altman, the </w:t>
      </w:r>
      <w:r w:rsidR="00D72043">
        <w:rPr>
          <w:rFonts w:eastAsia="Times New Roman" w:cs="Times New Roman"/>
          <w:szCs w:val="24"/>
        </w:rPr>
        <w:t xml:space="preserve">Chief Executive Office of OpenAI, testified extensively about the internal protocols that the company follows to </w:t>
      </w:r>
      <w:r w:rsidR="002F7BE3">
        <w:rPr>
          <w:rFonts w:eastAsia="Times New Roman" w:cs="Times New Roman"/>
          <w:szCs w:val="24"/>
        </w:rPr>
        <w:t>protect privacy, police disinformation, protect children</w:t>
      </w:r>
      <w:r w:rsidR="00AF7156">
        <w:rPr>
          <w:rFonts w:eastAsia="Times New Roman" w:cs="Times New Roman"/>
          <w:szCs w:val="24"/>
        </w:rPr>
        <w:t>’s safety</w:t>
      </w:r>
      <w:r w:rsidR="002F7BE3">
        <w:rPr>
          <w:rFonts w:eastAsia="Times New Roman" w:cs="Times New Roman"/>
          <w:szCs w:val="24"/>
        </w:rPr>
        <w:t>, ensure cybersecurity</w:t>
      </w:r>
      <w:r w:rsidR="00AF7156">
        <w:rPr>
          <w:rFonts w:eastAsia="Times New Roman" w:cs="Times New Roman"/>
          <w:szCs w:val="24"/>
        </w:rPr>
        <w:t xml:space="preserve">, improve accuracy, and deploy ChatGPT products safely. </w:t>
      </w:r>
      <w:r w:rsidR="0087089B">
        <w:rPr>
          <w:rFonts w:eastAsia="Times New Roman" w:cs="Times New Roman"/>
          <w:szCs w:val="24"/>
        </w:rPr>
        <w:t xml:space="preserve">Altman cited to OpenAI’s Usage Policies (discussed above in Part III.C.1.) and noted that OpenAI uses “a combination of automated detection systems and human review to detect potentially violating behavior in order to warn </w:t>
      </w:r>
      <w:r w:rsidR="0087089B">
        <w:rPr>
          <w:rFonts w:eastAsia="Times New Roman" w:cs="Times New Roman"/>
          <w:szCs w:val="24"/>
        </w:rPr>
        <w:lastRenderedPageBreak/>
        <w:t>users or take enforcement actions.</w:t>
      </w:r>
      <w:r w:rsidR="00506A15">
        <w:rPr>
          <w:rStyle w:val="FootnoteReference"/>
          <w:rFonts w:eastAsia="Times New Roman" w:cs="Times New Roman"/>
          <w:szCs w:val="24"/>
        </w:rPr>
        <w:footnoteReference w:id="221"/>
      </w:r>
      <w:r w:rsidR="0087089B">
        <w:rPr>
          <w:rFonts w:eastAsia="Times New Roman" w:cs="Times New Roman"/>
          <w:szCs w:val="24"/>
        </w:rPr>
        <w:t xml:space="preserve"> He also, however, </w:t>
      </w:r>
      <w:r w:rsidR="00506A15">
        <w:rPr>
          <w:rFonts w:eastAsia="Times New Roman" w:cs="Times New Roman"/>
          <w:szCs w:val="24"/>
        </w:rPr>
        <w:t>emphasized that “regulation of AI is essential” and noted that Open AI is working to apply the NIST AI principles to its models.</w:t>
      </w:r>
      <w:r w:rsidR="002A0590">
        <w:rPr>
          <w:rStyle w:val="FootnoteReference"/>
          <w:rFonts w:eastAsia="Times New Roman" w:cs="Times New Roman"/>
          <w:szCs w:val="24"/>
        </w:rPr>
        <w:footnoteReference w:id="222"/>
      </w:r>
      <w:r w:rsidR="00506A15">
        <w:rPr>
          <w:rFonts w:eastAsia="Times New Roman" w:cs="Times New Roman"/>
          <w:szCs w:val="24"/>
        </w:rPr>
        <w:t xml:space="preserve"> </w:t>
      </w:r>
      <w:r w:rsidR="00E17079">
        <w:rPr>
          <w:rFonts w:eastAsia="Times New Roman" w:cs="Times New Roman"/>
          <w:szCs w:val="24"/>
        </w:rPr>
        <w:t xml:space="preserve">Christina Montgomery, Chief Privacy and Trust Officer for IBM, focused more on the company’s self-regulation, emphasizing its </w:t>
      </w:r>
      <w:r w:rsidR="00DB45E5">
        <w:rPr>
          <w:rFonts w:eastAsia="Times New Roman" w:cs="Times New Roman"/>
          <w:szCs w:val="24"/>
        </w:rPr>
        <w:t>creation of an AI Ethics Board, for example, and listing the specific steps taken to minimize risk from posed by OpenAI.</w:t>
      </w:r>
      <w:r w:rsidR="00DB45E5">
        <w:rPr>
          <w:rStyle w:val="FootnoteReference"/>
          <w:rFonts w:eastAsia="Times New Roman" w:cs="Times New Roman"/>
          <w:szCs w:val="24"/>
        </w:rPr>
        <w:footnoteReference w:id="223"/>
      </w:r>
    </w:p>
    <w:p w14:paraId="3FFA3D7B" w14:textId="77777777" w:rsidR="00DF79B9" w:rsidRDefault="00DF79B9" w:rsidP="000B7984">
      <w:pPr>
        <w:spacing w:after="0" w:line="240" w:lineRule="auto"/>
        <w:jc w:val="both"/>
        <w:rPr>
          <w:rFonts w:eastAsia="Times New Roman" w:cs="Times New Roman"/>
          <w:szCs w:val="24"/>
        </w:rPr>
      </w:pPr>
    </w:p>
    <w:p w14:paraId="25CAA7EF" w14:textId="77777777" w:rsidR="00286DFA" w:rsidRDefault="00DF79B9" w:rsidP="000B7984">
      <w:pPr>
        <w:spacing w:after="0" w:line="240" w:lineRule="auto"/>
        <w:jc w:val="both"/>
        <w:rPr>
          <w:rFonts w:eastAsia="Times New Roman" w:cs="Times New Roman"/>
          <w:szCs w:val="24"/>
        </w:rPr>
      </w:pPr>
      <w:r>
        <w:rPr>
          <w:rFonts w:eastAsia="Times New Roman" w:cs="Times New Roman"/>
          <w:szCs w:val="24"/>
        </w:rPr>
        <w:tab/>
        <w:t xml:space="preserve">While operating with little coordination of standards on the domestic front, the U.S. AI community is also endeavoring to harmonize its emerging standards with international ones—an effort reminiscent of the early days of the Internet. </w:t>
      </w:r>
      <w:r w:rsidR="00C546DA">
        <w:rPr>
          <w:rFonts w:eastAsia="Times New Roman" w:cs="Times New Roman"/>
          <w:szCs w:val="24"/>
        </w:rPr>
        <w:t xml:space="preserve">Brookings, which has led some of the efforts in this space, notes </w:t>
      </w:r>
      <w:r w:rsidR="0076443B">
        <w:rPr>
          <w:rFonts w:eastAsia="Times New Roman" w:cs="Times New Roman"/>
          <w:szCs w:val="24"/>
        </w:rPr>
        <w:t xml:space="preserve">its own forum for AI cooperation formed in collaboration with the Centre for European Policy Studies, </w:t>
      </w:r>
      <w:r w:rsidR="00DD60F4">
        <w:rPr>
          <w:rFonts w:eastAsia="Times New Roman" w:cs="Times New Roman"/>
          <w:szCs w:val="24"/>
        </w:rPr>
        <w:t xml:space="preserve">as well as </w:t>
      </w:r>
      <w:r w:rsidR="006C22F8">
        <w:rPr>
          <w:rFonts w:eastAsia="Times New Roman" w:cs="Times New Roman"/>
          <w:szCs w:val="24"/>
        </w:rPr>
        <w:t>A G-7 Leaders Communique on AI and work on AI governance through “the US-EU Trade and Technology Council (TTC), the Global Partnership in AI (GPAI</w:t>
      </w:r>
      <w:r w:rsidR="0020277B">
        <w:rPr>
          <w:rFonts w:eastAsia="Times New Roman" w:cs="Times New Roman"/>
          <w:szCs w:val="24"/>
        </w:rPr>
        <w:t xml:space="preserve">), [and] the </w:t>
      </w:r>
      <w:proofErr w:type="spellStart"/>
      <w:r w:rsidR="0020277B">
        <w:rPr>
          <w:rFonts w:eastAsia="Times New Roman" w:cs="Times New Roman"/>
          <w:szCs w:val="24"/>
        </w:rPr>
        <w:t>Organisation</w:t>
      </w:r>
      <w:proofErr w:type="spellEnd"/>
      <w:r w:rsidR="0020277B">
        <w:rPr>
          <w:rFonts w:eastAsia="Times New Roman" w:cs="Times New Roman"/>
          <w:szCs w:val="24"/>
        </w:rPr>
        <w:t xml:space="preserve"> for Economic Co-operation and Development (OECD).”</w:t>
      </w:r>
      <w:r w:rsidR="0020277B">
        <w:rPr>
          <w:rStyle w:val="FootnoteReference"/>
          <w:rFonts w:eastAsia="Times New Roman" w:cs="Times New Roman"/>
          <w:szCs w:val="24"/>
        </w:rPr>
        <w:footnoteReference w:id="224"/>
      </w:r>
      <w:r w:rsidR="00C546DA">
        <w:rPr>
          <w:rFonts w:eastAsia="Times New Roman" w:cs="Times New Roman"/>
          <w:szCs w:val="24"/>
        </w:rPr>
        <w:t xml:space="preserve"> </w:t>
      </w:r>
    </w:p>
    <w:p w14:paraId="0E0C27A9" w14:textId="77777777" w:rsidR="00286DFA" w:rsidRDefault="00286DFA" w:rsidP="000B7984">
      <w:pPr>
        <w:spacing w:after="0" w:line="240" w:lineRule="auto"/>
        <w:jc w:val="both"/>
        <w:rPr>
          <w:rFonts w:eastAsia="Times New Roman" w:cs="Times New Roman"/>
          <w:szCs w:val="24"/>
        </w:rPr>
      </w:pPr>
    </w:p>
    <w:p w14:paraId="0960AB4C" w14:textId="152A90B3" w:rsidR="000325BA" w:rsidRPr="00403D85" w:rsidRDefault="00286DFA" w:rsidP="000B7984">
      <w:pPr>
        <w:spacing w:after="0" w:line="240" w:lineRule="auto"/>
        <w:jc w:val="both"/>
        <w:rPr>
          <w:rFonts w:eastAsia="Times New Roman" w:cs="Times New Roman"/>
          <w:szCs w:val="24"/>
        </w:rPr>
      </w:pPr>
      <w:r>
        <w:rPr>
          <w:rFonts w:eastAsia="Times New Roman" w:cs="Times New Roman"/>
          <w:szCs w:val="24"/>
        </w:rPr>
        <w:tab/>
        <w:t xml:space="preserve">Overall, AI—one of the most nascent yet potentially transformative industries at the time of this writing—highlights well the role of standards in innovation. The U.S. government is pulling many of the traditional levers that enable and support innovation, such as forming national R&amp;D centers through NSF and creating a federal office to issue incentives and support for AI. At the same time, the government is engaged in the delicate dance of </w:t>
      </w:r>
      <w:r w:rsidR="000C348C">
        <w:rPr>
          <w:rFonts w:eastAsia="Times New Roman" w:cs="Times New Roman"/>
          <w:szCs w:val="24"/>
        </w:rPr>
        <w:t xml:space="preserve">considering its own new standards to mitigate the risks of AI—thus supporting public confidence in this emerging area—while recognizing that too many standards could backfire and hamper innovation. In the meantime, self-regulation is emerging in part due to recognition of the chilling effect that highly-publicized AI risks could have on the industry and the real threat of bans, as seen in Italy. Efforts to coordinate these standards through, for example, the Frontier  </w:t>
      </w:r>
      <w:r w:rsidR="00A80112">
        <w:rPr>
          <w:rFonts w:eastAsia="Times New Roman" w:cs="Times New Roman"/>
          <w:szCs w:val="24"/>
        </w:rPr>
        <w:t xml:space="preserve">Model Forum and government- and industry-led coordination efforts are still relatively young. The degree to which </w:t>
      </w:r>
      <w:r w:rsidR="0070098A">
        <w:rPr>
          <w:rFonts w:eastAsia="Times New Roman" w:cs="Times New Roman"/>
          <w:szCs w:val="24"/>
        </w:rPr>
        <w:t>a suite of complementary public and private standards will support productive, transformative use of AI and curb potentially large negative harms--and effectively harmonize international standards to support the growth of the industry-- remains to be seen.</w:t>
      </w:r>
      <w:r w:rsidR="0087089B">
        <w:rPr>
          <w:rFonts w:eastAsia="Times New Roman" w:cs="Times New Roman"/>
          <w:szCs w:val="24"/>
        </w:rPr>
        <w:br/>
        <w:t xml:space="preserve"> </w:t>
      </w:r>
    </w:p>
    <w:p w14:paraId="7220853D" w14:textId="77777777" w:rsidR="00924635" w:rsidRPr="00EC79E0" w:rsidRDefault="00924635" w:rsidP="00403D85">
      <w:pPr>
        <w:spacing w:after="0" w:line="240" w:lineRule="auto"/>
        <w:jc w:val="both"/>
        <w:rPr>
          <w:rFonts w:eastAsia="Times New Roman" w:cs="Times New Roman"/>
          <w:szCs w:val="24"/>
        </w:rPr>
      </w:pPr>
    </w:p>
    <w:p w14:paraId="64A46746" w14:textId="77777777" w:rsidR="00924635" w:rsidRPr="00EC79E0" w:rsidRDefault="00924635" w:rsidP="00523783">
      <w:pPr>
        <w:pStyle w:val="Heading2"/>
        <w:rPr>
          <w:rFonts w:eastAsia="Times New Roman"/>
        </w:rPr>
      </w:pPr>
      <w:bookmarkStart w:id="54" w:name="_Toc141791881"/>
      <w:r w:rsidRPr="00EC79E0">
        <w:rPr>
          <w:rFonts w:eastAsia="Times New Roman"/>
        </w:rPr>
        <w:lastRenderedPageBreak/>
        <w:t>IV. Lessons Learned</w:t>
      </w:r>
      <w:bookmarkEnd w:id="54"/>
      <w:r w:rsidRPr="00EC79E0">
        <w:rPr>
          <w:rFonts w:eastAsia="Times New Roman"/>
        </w:rPr>
        <w:t> </w:t>
      </w:r>
    </w:p>
    <w:p w14:paraId="121AE663" w14:textId="77777777"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w:t>
      </w:r>
    </w:p>
    <w:p w14:paraId="2D052468" w14:textId="77777777" w:rsidR="00924635" w:rsidRDefault="00924635" w:rsidP="00924635">
      <w:pPr>
        <w:spacing w:after="0" w:line="240" w:lineRule="auto"/>
        <w:jc w:val="both"/>
        <w:rPr>
          <w:rFonts w:eastAsia="Times New Roman" w:cs="Times New Roman"/>
          <w:color w:val="000000"/>
          <w:szCs w:val="24"/>
        </w:rPr>
      </w:pPr>
      <w:r w:rsidRPr="00EC79E0">
        <w:rPr>
          <w:rFonts w:eastAsia="Times New Roman" w:cs="Times New Roman"/>
          <w:color w:val="000000"/>
          <w:szCs w:val="24"/>
        </w:rPr>
        <w:tab/>
        <w:t xml:space="preserve">The observation in Part II.B.2. that private standards development has tended to </w:t>
      </w:r>
      <w:r w:rsidRPr="00EC79E0">
        <w:rPr>
          <w:rFonts w:eastAsia="Times New Roman" w:cs="Times New Roman"/>
          <w:i/>
          <w:iCs/>
          <w:color w:val="000000"/>
          <w:szCs w:val="24"/>
        </w:rPr>
        <w:t xml:space="preserve">follow </w:t>
      </w:r>
      <w:r w:rsidRPr="00EC79E0">
        <w:rPr>
          <w:rFonts w:eastAsia="Times New Roman" w:cs="Times New Roman"/>
          <w:color w:val="000000"/>
          <w:szCs w:val="24"/>
        </w:rPr>
        <w:t>commercialization of technologies—made by the president of the technical branch of the leading U.S. standards organization, ASME Standards Technology LLC—is an intriguing and frankly surprising one. How, after all, could an industry develop so fully—to the point of full commercialization—without standards guiding it and reassuring the public of the industry’s efficacy and safety? Hydrogen is perhaps one of the strongest exceptions to this rule, demonstrating the critical role of standards in an industry that has barely reached the pilot stage in many contexts. Failed efforts by California to produce a viable “Hydrogen Highway” are the result of many factors, but a lack of clear public or private standards for hydrogen fueling station safety may have proven a leading impediment—spurring the private NFPA and federal agencies to develop clear permitting guides and videos for hydrogen fueling stations in the more recent effort to scale up hydrogen. </w:t>
      </w:r>
    </w:p>
    <w:p w14:paraId="221A8C2D" w14:textId="77777777" w:rsidR="00960D47" w:rsidRDefault="00960D47" w:rsidP="00924635">
      <w:pPr>
        <w:spacing w:after="0" w:line="240" w:lineRule="auto"/>
        <w:jc w:val="both"/>
        <w:rPr>
          <w:rFonts w:eastAsia="Times New Roman" w:cs="Times New Roman"/>
          <w:color w:val="000000"/>
          <w:szCs w:val="24"/>
        </w:rPr>
      </w:pPr>
    </w:p>
    <w:p w14:paraId="052934C3" w14:textId="5F68975B" w:rsidR="00960D47" w:rsidRPr="00EC79E0" w:rsidRDefault="00960D47" w:rsidP="00924635">
      <w:pPr>
        <w:spacing w:after="0" w:line="240" w:lineRule="auto"/>
        <w:jc w:val="both"/>
        <w:rPr>
          <w:rFonts w:eastAsia="Times New Roman" w:cs="Times New Roman"/>
          <w:szCs w:val="24"/>
        </w:rPr>
      </w:pPr>
      <w:r>
        <w:rPr>
          <w:rFonts w:eastAsia="Times New Roman" w:cs="Times New Roman"/>
          <w:color w:val="000000"/>
          <w:szCs w:val="24"/>
        </w:rPr>
        <w:tab/>
        <w:t xml:space="preserve">With hydrogen, standards appear to be one </w:t>
      </w:r>
      <w:r w:rsidR="002A0434">
        <w:rPr>
          <w:rFonts w:eastAsia="Times New Roman" w:cs="Times New Roman"/>
          <w:color w:val="000000"/>
          <w:szCs w:val="24"/>
        </w:rPr>
        <w:t>determinant of whether the industry will flourish or once again fall by the wayside as a minor player in the energy sector. In the case of the Internet, standards, too, were critical for issues such as interoperability. For AI, the industry appears to have few impediments to growth; standards are essential not for its emergence, but to temper potentially</w:t>
      </w:r>
      <w:r w:rsidR="005224E9">
        <w:rPr>
          <w:rFonts w:eastAsia="Times New Roman" w:cs="Times New Roman"/>
          <w:color w:val="000000"/>
          <w:szCs w:val="24"/>
        </w:rPr>
        <w:t xml:space="preserve"> harmful impacts and to harness this technology to produce meaningful benefits</w:t>
      </w:r>
      <w:r w:rsidR="000343B1">
        <w:rPr>
          <w:rFonts w:eastAsia="Times New Roman" w:cs="Times New Roman"/>
          <w:color w:val="000000"/>
          <w:szCs w:val="24"/>
        </w:rPr>
        <w:t xml:space="preserve">—i.e., medical breakthroughs rather than merely law essays re-formulated in the style of great jurist. </w:t>
      </w:r>
    </w:p>
    <w:p w14:paraId="3952655A" w14:textId="77777777" w:rsidR="00924635" w:rsidRPr="00EC79E0" w:rsidRDefault="00924635" w:rsidP="00924635">
      <w:pPr>
        <w:spacing w:after="0" w:line="240" w:lineRule="auto"/>
        <w:rPr>
          <w:rFonts w:eastAsia="Times New Roman" w:cs="Times New Roman"/>
          <w:szCs w:val="24"/>
        </w:rPr>
      </w:pPr>
    </w:p>
    <w:p w14:paraId="2906F0AF" w14:textId="61ED7DD8"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When is self-regulation critical to the emergence of a nascent industry, and what types of standards prove most effective in pushing such an industry toward a commercial, scaled-up</w:t>
      </w:r>
      <w:r w:rsidR="000343B1">
        <w:rPr>
          <w:rFonts w:eastAsia="Times New Roman" w:cs="Times New Roman"/>
          <w:color w:val="000000"/>
          <w:szCs w:val="24"/>
        </w:rPr>
        <w:t>, and net-positive</w:t>
      </w:r>
      <w:r w:rsidRPr="00EC79E0">
        <w:rPr>
          <w:rFonts w:eastAsia="Times New Roman" w:cs="Times New Roman"/>
          <w:color w:val="000000"/>
          <w:szCs w:val="24"/>
        </w:rPr>
        <w:t xml:space="preserve"> state? A great deal of additional empirical analysis is essential to fully answer this question, but we offer initial thoughts here. </w:t>
      </w:r>
    </w:p>
    <w:p w14:paraId="5532DB6E" w14:textId="77777777" w:rsidR="00924635" w:rsidRPr="00EC79E0" w:rsidRDefault="00924635" w:rsidP="00924635">
      <w:pPr>
        <w:spacing w:after="0" w:line="240" w:lineRule="auto"/>
        <w:rPr>
          <w:rFonts w:eastAsia="Times New Roman" w:cs="Times New Roman"/>
          <w:szCs w:val="24"/>
        </w:rPr>
      </w:pPr>
    </w:p>
    <w:p w14:paraId="1B18FD01" w14:textId="0B25C600"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 </w:t>
      </w:r>
      <w:r w:rsidRPr="00EC79E0">
        <w:rPr>
          <w:rFonts w:eastAsia="Times New Roman" w:cs="Times New Roman"/>
          <w:color w:val="000000"/>
          <w:szCs w:val="24"/>
        </w:rPr>
        <w:tab/>
        <w:t>Prior analyses of self-regulation suggest that industries with strong network externalities and path dependence, among other market factors, will gravitate toward self-regulation. With respect to network externalities, in which “the value of a product to consumers is heavily dependent upon its acceptance by other consumers,” the Internet clearly reflects this feature.</w:t>
      </w:r>
      <w:r w:rsidR="0070098A">
        <w:rPr>
          <w:rStyle w:val="FootnoteReference"/>
          <w:rFonts w:eastAsia="Times New Roman" w:cs="Times New Roman"/>
          <w:color w:val="000000"/>
          <w:szCs w:val="24"/>
        </w:rPr>
        <w:footnoteReference w:id="225"/>
      </w:r>
      <w:r w:rsidRPr="00EC79E0">
        <w:rPr>
          <w:rFonts w:eastAsia="Times New Roman" w:cs="Times New Roman"/>
          <w:color w:val="000000"/>
          <w:szCs w:val="24"/>
        </w:rPr>
        <w:t xml:space="preserve"> The more individuals connect to the Internet, the more information is accessible and shared; the more localized networks that connect with others (perhaps most efficiently through shared, commonly understood standards), the more information flow there will be. With hydrogen, too, more consumer </w:t>
      </w:r>
      <w:r w:rsidRPr="00EC79E0">
        <w:rPr>
          <w:rFonts w:eastAsia="Times New Roman" w:cs="Times New Roman"/>
          <w:color w:val="000000"/>
          <w:szCs w:val="24"/>
        </w:rPr>
        <w:lastRenderedPageBreak/>
        <w:t>demand for hydrogen vehicles and associated fueling stations benefits individual hydrogen vehicle users. Path dependence, in which a choice of web programming language or type of hydrogen fueling station, can also affect the future feasibility of an industry, which tends to call for self-regulation.</w:t>
      </w:r>
    </w:p>
    <w:p w14:paraId="28AED460" w14:textId="77777777" w:rsidR="00924635" w:rsidRPr="00EC79E0" w:rsidRDefault="00924635" w:rsidP="00924635">
      <w:pPr>
        <w:spacing w:after="0" w:line="240" w:lineRule="auto"/>
        <w:rPr>
          <w:rFonts w:eastAsia="Times New Roman" w:cs="Times New Roman"/>
          <w:szCs w:val="24"/>
        </w:rPr>
      </w:pPr>
    </w:p>
    <w:p w14:paraId="56162584" w14:textId="4B7E0E61"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 xml:space="preserve">Our exploration of the emerging hydrogen industry and associated standards, and the now mature Internet, suggests several other important lessons about industry features–particularly in </w:t>
      </w:r>
      <w:r w:rsidRPr="00EC79E0">
        <w:rPr>
          <w:rFonts w:eastAsia="Times New Roman" w:cs="Times New Roman"/>
          <w:i/>
          <w:iCs/>
          <w:color w:val="000000"/>
          <w:szCs w:val="24"/>
        </w:rPr>
        <w:t xml:space="preserve">emerging </w:t>
      </w:r>
      <w:r w:rsidRPr="00EC79E0">
        <w:rPr>
          <w:rFonts w:eastAsia="Times New Roman" w:cs="Times New Roman"/>
          <w:color w:val="000000"/>
          <w:szCs w:val="24"/>
        </w:rPr>
        <w:t>industries–that tend to suggest a need for self-regulation complemented by public governance. First, and perhaps foremost, is the importance of standards in a technical, networked industry that the public perceives to be high risk or highly novel. In the case of hydrogen, industry actors in the UK and US, among many other jurisdictions, have launched efforts to</w:t>
      </w:r>
      <w:r w:rsidRPr="00EC79E0">
        <w:rPr>
          <w:rFonts w:eastAsia="Times New Roman" w:cs="Times New Roman"/>
          <w:i/>
          <w:iCs/>
          <w:color w:val="000000"/>
          <w:szCs w:val="24"/>
        </w:rPr>
        <w:t xml:space="preserve"> </w:t>
      </w:r>
      <w:r w:rsidRPr="00EC79E0">
        <w:rPr>
          <w:rFonts w:eastAsia="Times New Roman" w:cs="Times New Roman"/>
          <w:color w:val="000000"/>
          <w:szCs w:val="24"/>
        </w:rPr>
        <w:t>technically address risk in order to support standards development and assuage public spheres, with UK gas distribution companies funding collective risk laboratories and the ASME producing numerous technical papers to inform hydrogen pipeline standards.</w:t>
      </w:r>
      <w:r w:rsidR="0070098A">
        <w:rPr>
          <w:rStyle w:val="FootnoteReference"/>
          <w:rFonts w:eastAsia="Times New Roman" w:cs="Times New Roman"/>
          <w:color w:val="000000"/>
          <w:szCs w:val="24"/>
        </w:rPr>
        <w:footnoteReference w:id="226"/>
      </w:r>
      <w:r w:rsidRPr="00EC79E0">
        <w:rPr>
          <w:rFonts w:eastAsia="Times New Roman" w:cs="Times New Roman"/>
          <w:color w:val="000000"/>
          <w:szCs w:val="24"/>
        </w:rPr>
        <w:t xml:space="preserve"> In other, simpler industries, with fewer supply chain components and end uses and more familiar technologies, perhaps the industry, the public at large, and regulators are more willing to watch the industry emerge, learning of risks along the way and developing standards ex ante. Not so, it seems, in the hydrogen space. </w:t>
      </w:r>
    </w:p>
    <w:p w14:paraId="2AAA0D19" w14:textId="77777777" w:rsidR="00924635" w:rsidRPr="00EC79E0" w:rsidRDefault="00924635" w:rsidP="00924635">
      <w:pPr>
        <w:spacing w:after="0" w:line="240" w:lineRule="auto"/>
        <w:rPr>
          <w:rFonts w:eastAsia="Times New Roman" w:cs="Times New Roman"/>
          <w:szCs w:val="24"/>
        </w:rPr>
      </w:pPr>
    </w:p>
    <w:p w14:paraId="58C5513F" w14:textId="7A0EFCB5"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Another feature of emerging industries that seemingly calls for relatively robust self-regulation is a more complex version of the network externalities story. Beyond involving a product that becomes more valuable the more widespread and adopted it becomes, emerging industries that seem to have benefited from–or even depended upon–industry standards involve a complex physical network with mutually dependent components. For hydrogen, these are the production facilities, pipelines, storage facilities, distribution lines, fueling stations, and vehicles. For the Internet, networked infrastructure is cyberspace–an “interdependent network of information systems infrastructures including . . . telecommunications networks, computer systems, and embedded processors and controllers</w:t>
      </w:r>
      <w:r w:rsidR="0070098A">
        <w:rPr>
          <w:rFonts w:eastAsia="Times New Roman" w:cs="Times New Roman"/>
          <w:color w:val="000000"/>
          <w:szCs w:val="24"/>
        </w:rPr>
        <w:t>.</w:t>
      </w:r>
      <w:r w:rsidRPr="00EC79E0">
        <w:rPr>
          <w:rFonts w:eastAsia="Times New Roman" w:cs="Times New Roman"/>
          <w:color w:val="000000"/>
          <w:szCs w:val="24"/>
        </w:rPr>
        <w:t>”</w:t>
      </w:r>
      <w:r w:rsidR="0070098A">
        <w:rPr>
          <w:rStyle w:val="FootnoteReference"/>
          <w:rFonts w:eastAsia="Times New Roman" w:cs="Times New Roman"/>
          <w:color w:val="000000"/>
          <w:szCs w:val="24"/>
        </w:rPr>
        <w:footnoteReference w:id="227"/>
      </w:r>
      <w:r w:rsidRPr="00EC79E0">
        <w:rPr>
          <w:rFonts w:eastAsia="Times New Roman" w:cs="Times New Roman"/>
          <w:color w:val="000000"/>
          <w:szCs w:val="24"/>
        </w:rPr>
        <w:t xml:space="preserve"> </w:t>
      </w:r>
    </w:p>
    <w:p w14:paraId="24CABD92" w14:textId="77777777" w:rsidR="00924635" w:rsidRPr="00EC79E0" w:rsidRDefault="00924635" w:rsidP="00924635">
      <w:pPr>
        <w:spacing w:after="0" w:line="240" w:lineRule="auto"/>
        <w:rPr>
          <w:rFonts w:eastAsia="Times New Roman" w:cs="Times New Roman"/>
          <w:szCs w:val="24"/>
        </w:rPr>
      </w:pPr>
    </w:p>
    <w:p w14:paraId="10D76228"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Beyond the need for standards during</w:t>
      </w:r>
      <w:r w:rsidRPr="00EC79E0">
        <w:rPr>
          <w:rFonts w:eastAsia="Times New Roman" w:cs="Times New Roman"/>
          <w:i/>
          <w:iCs/>
          <w:color w:val="000000"/>
          <w:szCs w:val="24"/>
        </w:rPr>
        <w:t xml:space="preserve"> </w:t>
      </w:r>
      <w:r w:rsidRPr="00EC79E0">
        <w:rPr>
          <w:rFonts w:eastAsia="Times New Roman" w:cs="Times New Roman"/>
          <w:color w:val="000000"/>
          <w:szCs w:val="24"/>
        </w:rPr>
        <w:t xml:space="preserve">the commercialization process, hydrogen and the Internet inform questions regarding the </w:t>
      </w:r>
      <w:r w:rsidRPr="00EC79E0">
        <w:rPr>
          <w:rFonts w:eastAsia="Times New Roman" w:cs="Times New Roman"/>
          <w:i/>
          <w:iCs/>
          <w:color w:val="000000"/>
          <w:szCs w:val="24"/>
        </w:rPr>
        <w:t>types</w:t>
      </w:r>
      <w:r w:rsidRPr="00EC79E0">
        <w:rPr>
          <w:rFonts w:eastAsia="Times New Roman" w:cs="Times New Roman"/>
          <w:color w:val="000000"/>
          <w:szCs w:val="24"/>
        </w:rPr>
        <w:t xml:space="preserve"> of standards that can be most effective in supporting this process. We have already noted the importance of standards buttressed by powerful technical proof. Beyond this need is the critical nature of standards coordination in an industry characterized by a complex network of production, transportation, </w:t>
      </w:r>
      <w:r w:rsidRPr="00EC79E0">
        <w:rPr>
          <w:rFonts w:eastAsia="Times New Roman" w:cs="Times New Roman"/>
          <w:color w:val="000000"/>
          <w:szCs w:val="24"/>
        </w:rPr>
        <w:lastRenderedPageBreak/>
        <w:t>distribution, and end use infrastructure and operation. For hydrogen, the Fuel Cell &amp; Hydrogen Energy Association is pushing to identify and fill areas currently lacking in standards guidance and to mesh standards development processes toward a more coordinated end goal. Government actors, in turn, such as the National Renewable Energy Laboratory and Sandia National Laboratories, are helping to inform industry actors and the public of the relevant public and private standards—thus easing the permitting of new hydrogen infrastructure—and to support standards development. Additionally, individual standards development organizations are prodding others to improve hydrogen standards and fill gaps, as demonstrated by the CGA asking the NFPA to clarify some of its hydrogen storage standards and creating an advisory document while awaiting this clarification. </w:t>
      </w:r>
    </w:p>
    <w:p w14:paraId="31DD6363" w14:textId="77777777" w:rsidR="00924635" w:rsidRPr="00EC79E0" w:rsidRDefault="00924635" w:rsidP="00924635">
      <w:pPr>
        <w:spacing w:after="0" w:line="240" w:lineRule="auto"/>
        <w:rPr>
          <w:rFonts w:eastAsia="Times New Roman" w:cs="Times New Roman"/>
          <w:szCs w:val="24"/>
        </w:rPr>
      </w:pPr>
    </w:p>
    <w:p w14:paraId="153A920D" w14:textId="5173F0D3"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 xml:space="preserve">As is occurring with the now-mature Internet, as emerging industries </w:t>
      </w:r>
      <w:r w:rsidR="00215D2E">
        <w:rPr>
          <w:rFonts w:eastAsia="Times New Roman" w:cs="Times New Roman"/>
          <w:color w:val="000000"/>
          <w:szCs w:val="24"/>
        </w:rPr>
        <w:t xml:space="preserve">such as AI </w:t>
      </w:r>
      <w:r w:rsidRPr="00EC79E0">
        <w:rPr>
          <w:rFonts w:eastAsia="Times New Roman" w:cs="Times New Roman"/>
          <w:color w:val="000000"/>
          <w:szCs w:val="24"/>
        </w:rPr>
        <w:t>grow and change over time, governance will evolve to represent a more complex mix of private and public regulations–often with public regulations incorporating many private standards by reference but also including new publicly-formed directives. And the debate between the merits of private and public standards will become more intense, as seen by the growing cacophony of voices concerned about self-regulation of Internet content and speech, among many other issues. Ultimately, the standards that seem most likely to expand within the public sphere are those defined by Larry Lessig as “regulating” standards–those that “limit liberty within” an activity to “advance a regulatory end,” such as public safety</w:t>
      </w:r>
      <w:r w:rsidR="00215D2E">
        <w:rPr>
          <w:rFonts w:eastAsia="Times New Roman" w:cs="Times New Roman"/>
          <w:color w:val="000000"/>
          <w:szCs w:val="24"/>
        </w:rPr>
        <w:t>.</w:t>
      </w:r>
      <w:r w:rsidR="00215D2E">
        <w:rPr>
          <w:rStyle w:val="FootnoteReference"/>
          <w:rFonts w:eastAsia="Times New Roman" w:cs="Times New Roman"/>
          <w:color w:val="000000"/>
          <w:szCs w:val="24"/>
        </w:rPr>
        <w:footnoteReference w:id="228"/>
      </w:r>
      <w:r w:rsidRPr="00EC79E0">
        <w:rPr>
          <w:rFonts w:eastAsia="Times New Roman" w:cs="Times New Roman"/>
          <w:color w:val="000000"/>
          <w:szCs w:val="24"/>
        </w:rPr>
        <w:t>  Indeed, Lessig noted that regulatory standards tend to be top-down. </w:t>
      </w:r>
    </w:p>
    <w:p w14:paraId="0301C256" w14:textId="77777777" w:rsidR="00924635" w:rsidRPr="00EC79E0" w:rsidRDefault="00924635" w:rsidP="00924635">
      <w:pPr>
        <w:spacing w:after="0" w:line="240" w:lineRule="auto"/>
        <w:rPr>
          <w:rFonts w:eastAsia="Times New Roman" w:cs="Times New Roman"/>
          <w:szCs w:val="24"/>
        </w:rPr>
      </w:pPr>
    </w:p>
    <w:p w14:paraId="758906E6" w14:textId="4158DCF3" w:rsidR="00924635" w:rsidRPr="00EC79E0" w:rsidRDefault="00924635" w:rsidP="00924635">
      <w:pPr>
        <w:spacing w:after="0" w:line="240" w:lineRule="auto"/>
        <w:ind w:firstLine="720"/>
        <w:jc w:val="both"/>
        <w:rPr>
          <w:rFonts w:eastAsia="Times New Roman" w:cs="Times New Roman"/>
          <w:szCs w:val="24"/>
        </w:rPr>
      </w:pPr>
      <w:r w:rsidRPr="00EC79E0">
        <w:rPr>
          <w:rFonts w:eastAsia="Times New Roman" w:cs="Times New Roman"/>
          <w:color w:val="000000"/>
          <w:szCs w:val="24"/>
        </w:rPr>
        <w:t>Despite the likelihood of more top-down public regulation of emerging industries as they grow–with the Internet as a prime example–in some cases there are likely to be strong bottom-up additions of regulating standards emanating pioneered by SSOs</w:t>
      </w:r>
      <w:r w:rsidR="00215D2E">
        <w:rPr>
          <w:rFonts w:eastAsia="Times New Roman" w:cs="Times New Roman"/>
          <w:color w:val="000000"/>
          <w:szCs w:val="24"/>
        </w:rPr>
        <w:t xml:space="preserve"> and SROs</w:t>
      </w:r>
      <w:r w:rsidRPr="00EC79E0">
        <w:rPr>
          <w:rFonts w:eastAsia="Times New Roman" w:cs="Times New Roman"/>
          <w:color w:val="000000"/>
          <w:szCs w:val="24"/>
        </w:rPr>
        <w:t xml:space="preserve">, particularly if industry members of </w:t>
      </w:r>
      <w:r w:rsidR="00215D2E">
        <w:rPr>
          <w:rFonts w:eastAsia="Times New Roman" w:cs="Times New Roman"/>
          <w:color w:val="000000"/>
          <w:szCs w:val="24"/>
        </w:rPr>
        <w:t>these organizations</w:t>
      </w:r>
      <w:r w:rsidR="00215D2E" w:rsidRPr="00EC79E0">
        <w:rPr>
          <w:rFonts w:eastAsia="Times New Roman" w:cs="Times New Roman"/>
          <w:color w:val="000000"/>
          <w:szCs w:val="24"/>
        </w:rPr>
        <w:t xml:space="preserve"> </w:t>
      </w:r>
      <w:r w:rsidRPr="00EC79E0">
        <w:rPr>
          <w:rFonts w:eastAsia="Times New Roman" w:cs="Times New Roman"/>
          <w:color w:val="000000"/>
          <w:szCs w:val="24"/>
        </w:rPr>
        <w:t>become concerned about unduly strict public regulation or interconnected risks that could cause the whole system to fail. In the case of hydrogen, particularly given stubborn public perceptions of risk in the form of fire and explosion, one or several high-profile incidents could doom the industry, as could the failure of a critical pipeline connected multiple producers to end-users. This could lead industry to continue to play an active role both in curating the coordinating standards (those that allowed the industry to exist in the first place) and the regulating standards, which improve safety, public perception, and other aspects of the now-functioning industry. </w:t>
      </w:r>
    </w:p>
    <w:p w14:paraId="24DAA576" w14:textId="77777777" w:rsidR="00924635" w:rsidRPr="00EC79E0" w:rsidRDefault="00924635" w:rsidP="00924635">
      <w:pPr>
        <w:spacing w:after="0" w:line="240" w:lineRule="auto"/>
        <w:rPr>
          <w:rFonts w:eastAsia="Times New Roman" w:cs="Times New Roman"/>
          <w:szCs w:val="24"/>
        </w:rPr>
      </w:pPr>
    </w:p>
    <w:p w14:paraId="730A6CAA" w14:textId="08AEE04D" w:rsidR="00924635" w:rsidRPr="00523783" w:rsidRDefault="00523783" w:rsidP="00523783">
      <w:pPr>
        <w:pStyle w:val="Heading1"/>
        <w:rPr>
          <w:rFonts w:eastAsia="Times New Roman"/>
          <w:smallCaps/>
        </w:rPr>
      </w:pPr>
      <w:bookmarkStart w:id="55" w:name="_Toc141791882"/>
      <w:r w:rsidRPr="00523783">
        <w:rPr>
          <w:rFonts w:eastAsia="Times New Roman"/>
          <w:smallCaps/>
        </w:rPr>
        <w:lastRenderedPageBreak/>
        <w:t>Conclusion</w:t>
      </w:r>
      <w:bookmarkEnd w:id="55"/>
    </w:p>
    <w:p w14:paraId="71F7BCED" w14:textId="77777777" w:rsidR="00924635" w:rsidRPr="00EC79E0" w:rsidRDefault="00924635" w:rsidP="00924635">
      <w:pPr>
        <w:spacing w:after="0" w:line="240" w:lineRule="auto"/>
        <w:rPr>
          <w:rFonts w:eastAsia="Times New Roman" w:cs="Times New Roman"/>
          <w:szCs w:val="24"/>
        </w:rPr>
      </w:pPr>
    </w:p>
    <w:p w14:paraId="0D8F7109" w14:textId="77777777" w:rsidR="0070595C" w:rsidRDefault="00924635" w:rsidP="00924635">
      <w:pPr>
        <w:spacing w:after="0" w:line="240" w:lineRule="auto"/>
        <w:jc w:val="both"/>
        <w:rPr>
          <w:rFonts w:eastAsia="Times New Roman" w:cs="Times New Roman"/>
          <w:color w:val="000000"/>
          <w:szCs w:val="24"/>
        </w:rPr>
      </w:pPr>
      <w:r w:rsidRPr="00EC79E0">
        <w:rPr>
          <w:rFonts w:eastAsia="Times New Roman" w:cs="Times New Roman"/>
          <w:color w:val="000000"/>
          <w:szCs w:val="24"/>
        </w:rPr>
        <w:tab/>
      </w:r>
      <w:r w:rsidR="00215D2E">
        <w:rPr>
          <w:rFonts w:eastAsia="Times New Roman" w:cs="Times New Roman"/>
          <w:color w:val="000000"/>
          <w:szCs w:val="24"/>
        </w:rPr>
        <w:t xml:space="preserve">An interesting yet high-stakes experiment in innovation is currently playing out within the United States and globally. </w:t>
      </w:r>
      <w:r w:rsidRPr="00EC79E0">
        <w:rPr>
          <w:rFonts w:eastAsia="Times New Roman" w:cs="Times New Roman"/>
          <w:color w:val="000000"/>
          <w:szCs w:val="24"/>
        </w:rPr>
        <w:t xml:space="preserve">It is unclear at this juncture whether extensive global efforts to create a viable hydrogen economy will follow the path of California’s doomed Hydrogen Highway or meet a happier fate. </w:t>
      </w:r>
      <w:r w:rsidR="00663BD3">
        <w:rPr>
          <w:rFonts w:eastAsia="Times New Roman" w:cs="Times New Roman"/>
          <w:color w:val="000000"/>
          <w:szCs w:val="24"/>
        </w:rPr>
        <w:t>And we cannot now know just how transformative AI will be, and the extent and degree of the risks of this massive technological change.</w:t>
      </w:r>
    </w:p>
    <w:p w14:paraId="1092DE80" w14:textId="77777777" w:rsidR="0070595C" w:rsidRDefault="0070595C" w:rsidP="00924635">
      <w:pPr>
        <w:spacing w:after="0" w:line="240" w:lineRule="auto"/>
        <w:jc w:val="both"/>
        <w:rPr>
          <w:rFonts w:eastAsia="Times New Roman" w:cs="Times New Roman"/>
          <w:color w:val="000000"/>
          <w:szCs w:val="24"/>
        </w:rPr>
      </w:pPr>
    </w:p>
    <w:p w14:paraId="4817C403" w14:textId="62DAA056" w:rsidR="00924635" w:rsidRPr="00EC79E0" w:rsidRDefault="00663BD3" w:rsidP="00403D85">
      <w:pPr>
        <w:spacing w:after="0" w:line="240" w:lineRule="auto"/>
        <w:ind w:firstLine="720"/>
        <w:jc w:val="both"/>
        <w:rPr>
          <w:rFonts w:eastAsia="Times New Roman" w:cs="Times New Roman"/>
          <w:szCs w:val="24"/>
        </w:rPr>
      </w:pPr>
      <w:r>
        <w:rPr>
          <w:rFonts w:eastAsia="Times New Roman" w:cs="Times New Roman"/>
          <w:color w:val="000000"/>
          <w:szCs w:val="24"/>
        </w:rPr>
        <w:t xml:space="preserve"> </w:t>
      </w:r>
      <w:r w:rsidR="00BC2595">
        <w:rPr>
          <w:rFonts w:eastAsia="Times New Roman" w:cs="Times New Roman"/>
          <w:color w:val="000000"/>
          <w:szCs w:val="24"/>
        </w:rPr>
        <w:t>The</w:t>
      </w:r>
      <w:r w:rsidR="00924635" w:rsidRPr="00EC79E0">
        <w:rPr>
          <w:rFonts w:eastAsia="Times New Roman" w:cs="Times New Roman"/>
          <w:color w:val="000000"/>
          <w:szCs w:val="24"/>
        </w:rPr>
        <w:t xml:space="preserve"> role of standards in </w:t>
      </w:r>
      <w:r w:rsidRPr="00EC79E0">
        <w:rPr>
          <w:rFonts w:eastAsia="Times New Roman" w:cs="Times New Roman"/>
          <w:color w:val="000000"/>
          <w:szCs w:val="24"/>
        </w:rPr>
        <w:t>th</w:t>
      </w:r>
      <w:r>
        <w:rPr>
          <w:rFonts w:eastAsia="Times New Roman" w:cs="Times New Roman"/>
          <w:color w:val="000000"/>
          <w:szCs w:val="24"/>
        </w:rPr>
        <w:t xml:space="preserve">e </w:t>
      </w:r>
      <w:r w:rsidR="00924635" w:rsidRPr="00EC79E0">
        <w:rPr>
          <w:rFonts w:eastAsia="Times New Roman" w:cs="Times New Roman"/>
          <w:color w:val="000000"/>
          <w:szCs w:val="24"/>
        </w:rPr>
        <w:t>future story</w:t>
      </w:r>
      <w:r>
        <w:rPr>
          <w:rFonts w:eastAsia="Times New Roman" w:cs="Times New Roman"/>
          <w:color w:val="000000"/>
          <w:szCs w:val="24"/>
        </w:rPr>
        <w:t xml:space="preserve"> of these industries</w:t>
      </w:r>
      <w:r w:rsidR="00924635" w:rsidRPr="00EC79E0">
        <w:rPr>
          <w:rFonts w:eastAsia="Times New Roman" w:cs="Times New Roman"/>
          <w:color w:val="000000"/>
          <w:szCs w:val="24"/>
        </w:rPr>
        <w:t xml:space="preserve"> is a critical one and provides lessons well beyond the </w:t>
      </w:r>
      <w:r>
        <w:rPr>
          <w:rFonts w:eastAsia="Times New Roman" w:cs="Times New Roman"/>
          <w:color w:val="000000"/>
          <w:szCs w:val="24"/>
        </w:rPr>
        <w:t>limited</w:t>
      </w:r>
      <w:r w:rsidRPr="00EC79E0">
        <w:rPr>
          <w:rFonts w:eastAsia="Times New Roman" w:cs="Times New Roman"/>
          <w:color w:val="000000"/>
          <w:szCs w:val="24"/>
        </w:rPr>
        <w:t xml:space="preserve"> </w:t>
      </w:r>
      <w:r w:rsidR="00924635" w:rsidRPr="00EC79E0">
        <w:rPr>
          <w:rFonts w:eastAsia="Times New Roman" w:cs="Times New Roman"/>
          <w:color w:val="000000"/>
          <w:szCs w:val="24"/>
        </w:rPr>
        <w:t>sphere</w:t>
      </w:r>
      <w:r>
        <w:rPr>
          <w:rFonts w:eastAsia="Times New Roman" w:cs="Times New Roman"/>
          <w:color w:val="000000"/>
          <w:szCs w:val="24"/>
        </w:rPr>
        <w:t>s explored here</w:t>
      </w:r>
      <w:r w:rsidR="00924635" w:rsidRPr="00EC79E0">
        <w:rPr>
          <w:rFonts w:eastAsia="Times New Roman" w:cs="Times New Roman"/>
          <w:color w:val="000000"/>
          <w:szCs w:val="24"/>
        </w:rPr>
        <w:t>, be it the development of advanced medical treatments and vaccinations, self-driving vehicles, and other potentially beneficial technologies currently only on the cusp of commercialization. Indeed, the fate of self-driving vehicles—while not involving the types of coordination challenges seen in the hydrogen context—has many parallels with hydrogen</w:t>
      </w:r>
      <w:r w:rsidR="00534464">
        <w:rPr>
          <w:rFonts w:eastAsia="Times New Roman" w:cs="Times New Roman"/>
          <w:color w:val="000000"/>
          <w:szCs w:val="24"/>
        </w:rPr>
        <w:t xml:space="preserve"> and </w:t>
      </w:r>
      <w:r w:rsidR="00BC2595">
        <w:rPr>
          <w:rFonts w:eastAsia="Times New Roman" w:cs="Times New Roman"/>
          <w:color w:val="000000"/>
          <w:szCs w:val="24"/>
        </w:rPr>
        <w:t>other portions of the AI industry</w:t>
      </w:r>
      <w:r w:rsidR="00924635" w:rsidRPr="00EC79E0">
        <w:rPr>
          <w:rFonts w:eastAsia="Times New Roman" w:cs="Times New Roman"/>
          <w:color w:val="000000"/>
          <w:szCs w:val="24"/>
        </w:rPr>
        <w:t>,</w:t>
      </w:r>
      <w:r w:rsidR="00534464">
        <w:rPr>
          <w:rStyle w:val="FootnoteReference"/>
          <w:rFonts w:eastAsia="Times New Roman" w:cs="Times New Roman"/>
          <w:color w:val="000000"/>
          <w:szCs w:val="24"/>
        </w:rPr>
        <w:footnoteReference w:id="229"/>
      </w:r>
      <w:r w:rsidR="00924635" w:rsidRPr="00EC79E0">
        <w:rPr>
          <w:rFonts w:eastAsia="Times New Roman" w:cs="Times New Roman"/>
          <w:color w:val="000000"/>
          <w:szCs w:val="24"/>
        </w:rPr>
        <w:t xml:space="preserve"> including an evolving suite of public and standards, some developed more than others; a great deal of public uncertainty and trepidation with respect to risk, and the lack of complete standards serving as an apparent obstacle to further commercialization. Some states have well-developed rules for self-driven cars, whereas others have no rules. As with hydrogen</w:t>
      </w:r>
      <w:r w:rsidR="00534464">
        <w:rPr>
          <w:rFonts w:eastAsia="Times New Roman" w:cs="Times New Roman"/>
          <w:color w:val="000000"/>
          <w:szCs w:val="24"/>
        </w:rPr>
        <w:t xml:space="preserve"> and</w:t>
      </w:r>
      <w:r w:rsidR="0070595C">
        <w:rPr>
          <w:rFonts w:eastAsia="Times New Roman" w:cs="Times New Roman"/>
          <w:color w:val="000000"/>
          <w:szCs w:val="24"/>
        </w:rPr>
        <w:t xml:space="preserve"> other AI fields</w:t>
      </w:r>
      <w:r w:rsidR="00924635" w:rsidRPr="00EC79E0">
        <w:rPr>
          <w:rFonts w:eastAsia="Times New Roman" w:cs="Times New Roman"/>
          <w:color w:val="000000"/>
          <w:szCs w:val="24"/>
        </w:rPr>
        <w:t xml:space="preserve">, the federal government also lacks standards in key areas, with the National Highway Traffic Safety Administration only requiring </w:t>
      </w:r>
      <w:r w:rsidR="00924635" w:rsidRPr="00EC79E0">
        <w:rPr>
          <w:rFonts w:eastAsia="Times New Roman" w:cs="Times New Roman"/>
          <w:i/>
          <w:iCs/>
          <w:color w:val="000000"/>
          <w:szCs w:val="24"/>
        </w:rPr>
        <w:t xml:space="preserve">reporting </w:t>
      </w:r>
      <w:r w:rsidR="00924635" w:rsidRPr="00EC79E0">
        <w:rPr>
          <w:rFonts w:eastAsia="Times New Roman" w:cs="Times New Roman"/>
          <w:color w:val="000000"/>
          <w:szCs w:val="24"/>
        </w:rPr>
        <w:t>of automated vehicle crashes in 2021 and launching voluntary safety testing measures for automated vehicles in 2020</w:t>
      </w:r>
      <w:r w:rsidR="0070595C">
        <w:rPr>
          <w:rFonts w:eastAsia="Times New Roman" w:cs="Times New Roman"/>
          <w:color w:val="000000"/>
          <w:szCs w:val="24"/>
        </w:rPr>
        <w:t>.</w:t>
      </w:r>
      <w:r w:rsidR="0070595C">
        <w:rPr>
          <w:rStyle w:val="FootnoteReference"/>
          <w:rFonts w:eastAsia="Times New Roman" w:cs="Times New Roman"/>
          <w:color w:val="000000"/>
          <w:szCs w:val="24"/>
        </w:rPr>
        <w:footnoteReference w:id="230"/>
      </w:r>
      <w:r w:rsidR="00924635" w:rsidRPr="00EC79E0">
        <w:rPr>
          <w:rFonts w:eastAsia="Times New Roman" w:cs="Times New Roman"/>
          <w:color w:val="000000"/>
          <w:szCs w:val="24"/>
        </w:rPr>
        <w:t xml:space="preserve"> Some progress on substantive federal rules has been made, however, with the Department of Transportation and NHTSA issuing the Federal Automated Vehicles Policy in 2016—a step not yet taken for hydrogen</w:t>
      </w:r>
      <w:r w:rsidR="00CD3438">
        <w:rPr>
          <w:rFonts w:eastAsia="Times New Roman" w:cs="Times New Roman"/>
          <w:color w:val="000000"/>
          <w:szCs w:val="24"/>
        </w:rPr>
        <w:t xml:space="preserve"> or areas of AI such as large language models.</w:t>
      </w:r>
      <w:r w:rsidR="00CD3438">
        <w:rPr>
          <w:rStyle w:val="FootnoteReference"/>
          <w:rFonts w:eastAsia="Times New Roman" w:cs="Times New Roman"/>
          <w:color w:val="000000"/>
          <w:szCs w:val="24"/>
        </w:rPr>
        <w:footnoteReference w:id="231"/>
      </w:r>
      <w:r w:rsidR="00924635" w:rsidRPr="00EC79E0">
        <w:rPr>
          <w:rFonts w:eastAsia="Times New Roman" w:cs="Times New Roman"/>
          <w:color w:val="000000"/>
          <w:szCs w:val="24"/>
        </w:rPr>
        <w:t xml:space="preserve"> </w:t>
      </w:r>
    </w:p>
    <w:p w14:paraId="52C780EE" w14:textId="77777777" w:rsidR="00924635" w:rsidRPr="00EC79E0" w:rsidRDefault="00924635" w:rsidP="00924635">
      <w:pPr>
        <w:spacing w:after="0" w:line="240" w:lineRule="auto"/>
        <w:rPr>
          <w:rFonts w:eastAsia="Times New Roman" w:cs="Times New Roman"/>
          <w:szCs w:val="24"/>
        </w:rPr>
      </w:pPr>
    </w:p>
    <w:p w14:paraId="4AA9FC22" w14:textId="2DE2C1E9"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t xml:space="preserve">Will a global </w:t>
      </w:r>
      <w:r w:rsidR="00C346AA">
        <w:rPr>
          <w:rFonts w:eastAsia="Times New Roman" w:cs="Times New Roman"/>
          <w:color w:val="000000"/>
          <w:szCs w:val="24"/>
        </w:rPr>
        <w:t xml:space="preserve">clean </w:t>
      </w:r>
      <w:r w:rsidRPr="00EC79E0">
        <w:rPr>
          <w:rFonts w:eastAsia="Times New Roman" w:cs="Times New Roman"/>
          <w:color w:val="000000"/>
          <w:szCs w:val="24"/>
        </w:rPr>
        <w:t>hydrogen economy emerge</w:t>
      </w:r>
      <w:r w:rsidR="00E76B94">
        <w:rPr>
          <w:rFonts w:eastAsia="Times New Roman" w:cs="Times New Roman"/>
          <w:color w:val="000000"/>
          <w:szCs w:val="24"/>
        </w:rPr>
        <w:t xml:space="preserve"> and become part of the </w:t>
      </w:r>
      <w:r w:rsidR="00C346AA">
        <w:rPr>
          <w:rFonts w:eastAsia="Times New Roman" w:cs="Times New Roman"/>
          <w:color w:val="000000"/>
          <w:szCs w:val="24"/>
        </w:rPr>
        <w:t>solution to climate change</w:t>
      </w:r>
      <w:r w:rsidRPr="00EC79E0">
        <w:rPr>
          <w:rFonts w:eastAsia="Times New Roman" w:cs="Times New Roman"/>
          <w:color w:val="000000"/>
          <w:szCs w:val="24"/>
        </w:rPr>
        <w:t xml:space="preserve">? </w:t>
      </w:r>
      <w:r w:rsidR="00CD3438">
        <w:rPr>
          <w:rFonts w:eastAsia="Times New Roman" w:cs="Times New Roman"/>
          <w:color w:val="000000"/>
          <w:szCs w:val="24"/>
        </w:rPr>
        <w:t xml:space="preserve">Will AI become a central, productive, and effectively regulated part of most aspects of human life? </w:t>
      </w:r>
      <w:r w:rsidRPr="00EC79E0">
        <w:rPr>
          <w:rFonts w:eastAsia="Times New Roman" w:cs="Times New Roman"/>
          <w:color w:val="000000"/>
          <w:szCs w:val="24"/>
        </w:rPr>
        <w:t xml:space="preserve">Much of this depends on the success of the technological development currently supported by a growing suite of industry standards. Ultimately, economics, consumer confidence, and dynamics in other industries are likely to determine </w:t>
      </w:r>
      <w:r w:rsidR="00CD3438">
        <w:rPr>
          <w:rFonts w:eastAsia="Times New Roman" w:cs="Times New Roman"/>
          <w:color w:val="000000"/>
          <w:szCs w:val="24"/>
        </w:rPr>
        <w:t>the fate of these types of emerging industries</w:t>
      </w:r>
      <w:r w:rsidRPr="00EC79E0">
        <w:rPr>
          <w:rFonts w:eastAsia="Times New Roman" w:cs="Times New Roman"/>
          <w:color w:val="000000"/>
          <w:szCs w:val="24"/>
        </w:rPr>
        <w:t>. But private standards supported and complemented by public governance will have played a critical role along the winding path of this nascent industry, just as they have and will continue to do for numerous nascent industries. </w:t>
      </w:r>
    </w:p>
    <w:p w14:paraId="763A7DBD"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tab/>
      </w:r>
    </w:p>
    <w:p w14:paraId="3CF6B040" w14:textId="77777777" w:rsidR="00924635" w:rsidRPr="00EC79E0" w:rsidRDefault="00924635" w:rsidP="00924635">
      <w:pPr>
        <w:spacing w:after="0" w:line="240" w:lineRule="auto"/>
        <w:jc w:val="both"/>
        <w:rPr>
          <w:rFonts w:eastAsia="Times New Roman" w:cs="Times New Roman"/>
          <w:szCs w:val="24"/>
        </w:rPr>
      </w:pPr>
      <w:r w:rsidRPr="00EC79E0">
        <w:rPr>
          <w:rFonts w:eastAsia="Times New Roman" w:cs="Times New Roman"/>
          <w:color w:val="000000"/>
          <w:szCs w:val="24"/>
        </w:rPr>
        <w:lastRenderedPageBreak/>
        <w:t> </w:t>
      </w:r>
    </w:p>
    <w:sectPr w:rsidR="00924635" w:rsidRPr="00EC79E0" w:rsidSect="00EC79E0">
      <w:headerReference w:type="default" r:id="rId16"/>
      <w:footerReference w:type="default" r:id="rId17"/>
      <w:pgSz w:w="12240" w:h="15840"/>
      <w:pgMar w:top="1584" w:right="2448" w:bottom="2016" w:left="244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Wiseman, Hannah" w:date="2023-07-25T10:13:00Z" w:initials="HW">
    <w:p w14:paraId="5313AD50" w14:textId="248125C9" w:rsidR="00381BDD" w:rsidRDefault="00381BDD" w:rsidP="00E147F3">
      <w:pPr>
        <w:pStyle w:val="CommentText"/>
      </w:pPr>
      <w:r>
        <w:rPr>
          <w:rStyle w:val="CommentReference"/>
        </w:rPr>
        <w:annotationRef/>
      </w:r>
      <w:r>
        <w:t xml:space="preserve">This seemed repetitive to me. </w:t>
      </w:r>
    </w:p>
  </w:comment>
  <w:comment w:id="10" w:author="Wiseman, Hannah" w:date="2023-07-31T11:55:00Z" w:initials="HW">
    <w:p w14:paraId="371FD43F" w14:textId="77777777" w:rsidR="00FE0D03" w:rsidRDefault="00FE0D03" w:rsidP="000B0C14">
      <w:pPr>
        <w:pStyle w:val="CommentText"/>
      </w:pPr>
      <w:r>
        <w:rPr>
          <w:rStyle w:val="CommentReference"/>
        </w:rPr>
        <w:annotationRef/>
      </w:r>
      <w:r>
        <w:t xml:space="preserve">I realized that some of our examples from the financial sector were actually more SROs than SSOs, plus the emerging self-regulation in AI (if you agree with including it) is an SRO. So I think it's more accurate to say that we focus on both SSOs and SROs. </w:t>
      </w:r>
    </w:p>
  </w:comment>
  <w:comment w:id="41" w:author="Cooper, Michael" w:date="2023-08-06T23:36:00Z" w:initials="CM">
    <w:p w14:paraId="65948483" w14:textId="77777777" w:rsidR="00D01ECA" w:rsidRDefault="00D01ECA" w:rsidP="00811E81">
      <w:pPr>
        <w:pStyle w:val="CommentText"/>
      </w:pPr>
      <w:r>
        <w:rPr>
          <w:rStyle w:val="CommentReference"/>
        </w:rPr>
        <w:annotationRef/>
      </w:r>
      <w:r>
        <w:t>Bibliography has this as McQueen, et al, I cited as "Dept of Energy, No. XXXX, Hydrogen Program Plan.." BB 14.2(d) (institutional author) (McQueen et al are not named as authors, but rather contributors and the author is instead DOE for citation).</w:t>
      </w:r>
    </w:p>
  </w:comment>
  <w:comment w:id="50" w:author="Wiseman, Hannah" w:date="2023-08-01T12:18:00Z" w:initials="HW">
    <w:p w14:paraId="07CB5C71" w14:textId="6DBCE2CF" w:rsidR="00EF055B" w:rsidRDefault="00EF055B" w:rsidP="005609BF">
      <w:pPr>
        <w:pStyle w:val="CommentText"/>
      </w:pPr>
      <w:r>
        <w:rPr>
          <w:rStyle w:val="CommentReference"/>
        </w:rPr>
        <w:annotationRef/>
      </w:r>
      <w:r>
        <w:t>Dan--do you think I'm correct here? I'm not sure . . . .</w:t>
      </w:r>
    </w:p>
  </w:comment>
  <w:comment w:id="51" w:author="Walters, Daniel" w:date="2023-08-07T17:43:00Z" w:initials="WD">
    <w:p w14:paraId="19FF708D" w14:textId="77777777" w:rsidR="00896E91" w:rsidRDefault="00896E91" w:rsidP="00C47378">
      <w:r>
        <w:rPr>
          <w:rStyle w:val="CommentReference"/>
        </w:rPr>
        <w:annotationRef/>
      </w:r>
      <w:r>
        <w:rPr>
          <w:sz w:val="20"/>
          <w:szCs w:val="20"/>
        </w:rPr>
        <w:t>Tejas Narechania has argued AI is a natural monopoly, but I think his is a heterodox take.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13AD50" w15:done="0"/>
  <w15:commentEx w15:paraId="371FD43F" w15:done="0"/>
  <w15:commentEx w15:paraId="65948483" w15:done="0"/>
  <w15:commentEx w15:paraId="07CB5C71" w15:done="0"/>
  <w15:commentEx w15:paraId="19FF708D" w15:paraIdParent="07CB5C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A1EC4" w16cex:dateUtc="2023-07-25T14:13:00Z"/>
  <w16cex:commentExtensible w16cex:durableId="28721FA6" w16cex:dateUtc="2023-07-31T15:55:00Z"/>
  <w16cex:commentExtensible w16cex:durableId="287AACF7" w16cex:dateUtc="2023-08-07T04:36:00Z"/>
  <w16cex:commentExtensible w16cex:durableId="28737698" w16cex:dateUtc="2023-08-01T16:18:00Z"/>
  <w16cex:commentExtensible w16cex:durableId="287BABDA" w16cex:dateUtc="2023-08-07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13AD50" w16cid:durableId="286A1EC4"/>
  <w16cid:commentId w16cid:paraId="371FD43F" w16cid:durableId="28721FA6"/>
  <w16cid:commentId w16cid:paraId="65948483" w16cid:durableId="287AACF7"/>
  <w16cid:commentId w16cid:paraId="07CB5C71" w16cid:durableId="28737698"/>
  <w16cid:commentId w16cid:paraId="19FF708D" w16cid:durableId="287BAB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CC65" w14:textId="77777777" w:rsidR="00D0645C" w:rsidRDefault="00D0645C" w:rsidP="00924635">
      <w:pPr>
        <w:spacing w:after="0" w:line="240" w:lineRule="auto"/>
      </w:pPr>
      <w:r>
        <w:separator/>
      </w:r>
    </w:p>
  </w:endnote>
  <w:endnote w:type="continuationSeparator" w:id="0">
    <w:p w14:paraId="29355C22" w14:textId="77777777" w:rsidR="00D0645C" w:rsidRDefault="00D0645C" w:rsidP="0092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D20C" w14:textId="60B22589" w:rsidR="0064552C" w:rsidRPr="0064552C" w:rsidRDefault="0064552C" w:rsidP="0064552C">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FD08" w14:textId="77777777" w:rsidR="00D0645C" w:rsidRDefault="00D0645C" w:rsidP="00924635">
      <w:pPr>
        <w:spacing w:after="0" w:line="240" w:lineRule="auto"/>
      </w:pPr>
      <w:r>
        <w:separator/>
      </w:r>
    </w:p>
  </w:footnote>
  <w:footnote w:type="continuationSeparator" w:id="0">
    <w:p w14:paraId="22FCDF1C" w14:textId="77777777" w:rsidR="00D0645C" w:rsidRDefault="00D0645C" w:rsidP="00924635">
      <w:pPr>
        <w:spacing w:after="0" w:line="240" w:lineRule="auto"/>
      </w:pPr>
      <w:r>
        <w:continuationSeparator/>
      </w:r>
    </w:p>
  </w:footnote>
  <w:footnote w:id="1">
    <w:p w14:paraId="3B2440F6" w14:textId="77777777" w:rsidR="00924635" w:rsidRPr="00BE4144" w:rsidRDefault="00924635" w:rsidP="00BE4144">
      <w:pPr>
        <w:pStyle w:val="FootnoteText"/>
        <w:jc w:val="both"/>
        <w:rPr>
          <w:rFonts w:cs="Times New Roman"/>
        </w:rPr>
      </w:pPr>
      <w:r w:rsidRPr="00BE4144">
        <w:rPr>
          <w:rStyle w:val="FootnoteReference"/>
          <w:rFonts w:cs="Times New Roman"/>
        </w:rPr>
        <w:t>*</w:t>
      </w:r>
      <w:r w:rsidRPr="00BE4144">
        <w:rPr>
          <w:rFonts w:cs="Times New Roman"/>
        </w:rPr>
        <w:t xml:space="preserve"> </w:t>
      </w:r>
      <w:r w:rsidRPr="00BE4144">
        <w:rPr>
          <w:rFonts w:cs="Times New Roman"/>
          <w:color w:val="000000"/>
        </w:rPr>
        <w:t>Associate Professor of Law, Texas A&amp;M University School of Law.</w:t>
      </w:r>
    </w:p>
  </w:footnote>
  <w:footnote w:id="2">
    <w:p w14:paraId="78DCE632" w14:textId="09A7FA84" w:rsidR="00924635" w:rsidRPr="00BE4144" w:rsidRDefault="00924635" w:rsidP="00BE4144">
      <w:pPr>
        <w:pStyle w:val="FootnoteText"/>
        <w:jc w:val="both"/>
        <w:rPr>
          <w:rFonts w:cs="Times New Roman"/>
        </w:rPr>
      </w:pPr>
      <w:r w:rsidRPr="00BE4144">
        <w:rPr>
          <w:rStyle w:val="FootnoteReference"/>
          <w:rFonts w:cs="Times New Roman"/>
        </w:rPr>
        <w:t>**</w:t>
      </w:r>
      <w:r w:rsidRPr="00BE4144">
        <w:rPr>
          <w:rFonts w:cs="Times New Roman"/>
        </w:rPr>
        <w:t xml:space="preserve"> </w:t>
      </w:r>
      <w:r w:rsidRPr="00BE4144">
        <w:rPr>
          <w:rFonts w:cs="Times New Roman"/>
          <w:color w:val="000000"/>
        </w:rPr>
        <w:t>Professor of Law; Professor</w:t>
      </w:r>
      <w:r w:rsidR="00E03927" w:rsidRPr="00BE4144">
        <w:rPr>
          <w:rFonts w:cs="Times New Roman"/>
          <w:color w:val="000000"/>
        </w:rPr>
        <w:t xml:space="preserve">, </w:t>
      </w:r>
      <w:r w:rsidRPr="00BE4144">
        <w:rPr>
          <w:rFonts w:cs="Times New Roman"/>
          <w:color w:val="000000"/>
        </w:rPr>
        <w:t xml:space="preserve">College of </w:t>
      </w:r>
      <w:proofErr w:type="gramStart"/>
      <w:r w:rsidRPr="00BE4144">
        <w:rPr>
          <w:rFonts w:cs="Times New Roman"/>
          <w:color w:val="000000"/>
        </w:rPr>
        <w:t>Earth</w:t>
      </w:r>
      <w:proofErr w:type="gramEnd"/>
      <w:r w:rsidRPr="00BE4144">
        <w:rPr>
          <w:rFonts w:cs="Times New Roman"/>
          <w:color w:val="000000"/>
        </w:rPr>
        <w:t xml:space="preserve"> and Mineral Sciences;</w:t>
      </w:r>
      <w:r w:rsidRPr="00BE4144">
        <w:rPr>
          <w:rFonts w:cs="Times New Roman"/>
          <w:color w:val="000000"/>
        </w:rPr>
        <w:br/>
        <w:t>Co-funded Faculty – Institutes of Energy and the Environment; Co-Director, Center for Energy Law and Policy, Penn State University—University Park. Thanks to Ibrahim Badawi</w:t>
      </w:r>
      <w:r w:rsidR="006754F8" w:rsidRPr="00BE4144">
        <w:rPr>
          <w:rFonts w:cs="Times New Roman"/>
          <w:color w:val="000000"/>
        </w:rPr>
        <w:t xml:space="preserve">, </w:t>
      </w:r>
      <w:r w:rsidRPr="00BE4144">
        <w:rPr>
          <w:rFonts w:cs="Times New Roman"/>
          <w:color w:val="000000"/>
        </w:rPr>
        <w:t>Logan Vonada, Daniel Boadi, and Matthew Finnegan for research support</w:t>
      </w:r>
      <w:r w:rsidR="006754F8" w:rsidRPr="00BE4144">
        <w:rPr>
          <w:rFonts w:cs="Times New Roman"/>
          <w:color w:val="000000"/>
        </w:rPr>
        <w:t xml:space="preserve"> through the Penn State Center for Energy Law &amp; Policy</w:t>
      </w:r>
      <w:r w:rsidRPr="00BE4144">
        <w:rPr>
          <w:rFonts w:cs="Times New Roman"/>
          <w:color w:val="000000"/>
        </w:rPr>
        <w:t xml:space="preserve">, and to the George Mason University Law &amp; Economics Center for its financial support of this project. We are grateful for all the comments we received in presenting this research at the Law &amp; Economics Center’s Workshop on Self-Regulation and at the Texas A&amp;M University School of Law </w:t>
      </w:r>
      <w:proofErr w:type="spellStart"/>
      <w:r w:rsidRPr="00BE4144">
        <w:rPr>
          <w:rFonts w:cs="Times New Roman"/>
          <w:color w:val="000000"/>
        </w:rPr>
        <w:t>EnviroSchmooze</w:t>
      </w:r>
      <w:proofErr w:type="spellEnd"/>
      <w:r w:rsidRPr="00BE4144">
        <w:rPr>
          <w:rFonts w:cs="Times New Roman"/>
          <w:color w:val="000000"/>
        </w:rPr>
        <w:t>.</w:t>
      </w:r>
    </w:p>
  </w:footnote>
  <w:footnote w:id="3">
    <w:p w14:paraId="0B8B741D" w14:textId="2C84AA57" w:rsidR="001375B3" w:rsidRPr="00BE4144" w:rsidRDefault="00E03927" w:rsidP="00BE4144">
      <w:pPr>
        <w:pStyle w:val="FootnoteText"/>
        <w:jc w:val="both"/>
        <w:rPr>
          <w:rFonts w:eastAsia="Times New Roman" w:cs="Times New Roman"/>
          <w:color w:val="000000"/>
        </w:rPr>
      </w:pPr>
      <w:r w:rsidRPr="00BE4144">
        <w:rPr>
          <w:rStyle w:val="FootnoteReference"/>
          <w:rFonts w:cs="Times New Roman"/>
        </w:rPr>
        <w:footnoteRef/>
      </w:r>
      <w:r w:rsidRPr="00BE4144">
        <w:rPr>
          <w:rFonts w:cs="Times New Roman"/>
        </w:rPr>
        <w:t xml:space="preserve"> </w:t>
      </w:r>
      <w:r w:rsidR="001375B3" w:rsidRPr="00BE4144">
        <w:rPr>
          <w:rFonts w:eastAsia="Times New Roman" w:cs="Times New Roman"/>
          <w:color w:val="000000"/>
        </w:rPr>
        <w:t xml:space="preserve">Regina Grafe &amp; Oscar </w:t>
      </w:r>
      <w:proofErr w:type="spellStart"/>
      <w:r w:rsidR="001375B3" w:rsidRPr="00BE4144">
        <w:rPr>
          <w:rFonts w:eastAsia="Times New Roman" w:cs="Times New Roman"/>
          <w:color w:val="000000"/>
        </w:rPr>
        <w:t>Gelderblom</w:t>
      </w:r>
      <w:proofErr w:type="spellEnd"/>
      <w:r w:rsidR="001375B3" w:rsidRPr="00BE4144">
        <w:rPr>
          <w:rFonts w:eastAsia="Times New Roman" w:cs="Times New Roman"/>
          <w:color w:val="000000"/>
        </w:rPr>
        <w:t xml:space="preserve">, </w:t>
      </w:r>
      <w:r w:rsidR="001375B3" w:rsidRPr="00BE4144">
        <w:rPr>
          <w:rFonts w:eastAsia="Times New Roman" w:cs="Times New Roman"/>
          <w:i/>
          <w:iCs/>
          <w:color w:val="000000"/>
        </w:rPr>
        <w:t xml:space="preserve">The </w:t>
      </w:r>
      <w:proofErr w:type="gramStart"/>
      <w:r w:rsidR="001375B3" w:rsidRPr="00BE4144">
        <w:rPr>
          <w:rFonts w:eastAsia="Times New Roman" w:cs="Times New Roman"/>
          <w:i/>
          <w:iCs/>
          <w:color w:val="000000"/>
        </w:rPr>
        <w:t>Rise</w:t>
      </w:r>
      <w:proofErr w:type="gramEnd"/>
      <w:r w:rsidR="001375B3" w:rsidRPr="00BE4144">
        <w:rPr>
          <w:rFonts w:eastAsia="Times New Roman" w:cs="Times New Roman"/>
          <w:i/>
          <w:iCs/>
          <w:color w:val="000000"/>
        </w:rPr>
        <w:t xml:space="preserve"> and Fall of the Merchant Guilds: Re-thinking the Comparative Study of Commercial Institutions in Premodern Europe</w:t>
      </w:r>
      <w:r w:rsidR="003753A4" w:rsidRPr="00BE4144">
        <w:rPr>
          <w:rFonts w:eastAsia="Times New Roman" w:cs="Times New Roman"/>
          <w:color w:val="000000"/>
        </w:rPr>
        <w:t>,</w:t>
      </w:r>
      <w:r w:rsidR="001375B3" w:rsidRPr="00BE4144">
        <w:rPr>
          <w:rFonts w:eastAsia="Times New Roman" w:cs="Times New Roman"/>
          <w:color w:val="000000"/>
        </w:rPr>
        <w:t xml:space="preserve"> </w:t>
      </w:r>
      <w:r w:rsidR="001375B3" w:rsidRPr="00BE4144">
        <w:rPr>
          <w:rFonts w:eastAsia="Times New Roman" w:cs="Times New Roman"/>
          <w:smallCaps/>
          <w:color w:val="000000"/>
        </w:rPr>
        <w:t>J. of Interdisciplinary History</w:t>
      </w:r>
      <w:r w:rsidR="001375B3" w:rsidRPr="00BE4144">
        <w:rPr>
          <w:rFonts w:eastAsia="Times New Roman" w:cs="Times New Roman"/>
          <w:color w:val="000000"/>
        </w:rPr>
        <w:t xml:space="preserve">, XL, 477 (2010). </w:t>
      </w:r>
    </w:p>
    <w:p w14:paraId="7E77F149" w14:textId="7FF2304F" w:rsidR="00E03927" w:rsidRPr="00BE4144" w:rsidRDefault="00E03927" w:rsidP="00BE4144">
      <w:pPr>
        <w:pStyle w:val="FootnoteText"/>
        <w:jc w:val="both"/>
        <w:rPr>
          <w:rFonts w:cs="Times New Roman"/>
        </w:rPr>
      </w:pPr>
    </w:p>
  </w:footnote>
  <w:footnote w:id="4">
    <w:p w14:paraId="52D981B1" w14:textId="11128847" w:rsidR="003B6BB4" w:rsidRDefault="003B6BB4">
      <w:pPr>
        <w:pStyle w:val="FootnoteText"/>
      </w:pPr>
      <w:r>
        <w:rPr>
          <w:rStyle w:val="FootnoteReference"/>
        </w:rPr>
        <w:footnoteRef/>
      </w:r>
      <w:r>
        <w:t xml:space="preserve"> </w:t>
      </w:r>
      <w:r w:rsidR="00E3247A">
        <w:rPr>
          <w:rFonts w:eastAsia="Times New Roman" w:cs="Times New Roman"/>
          <w:color w:val="000000"/>
          <w:szCs w:val="24"/>
        </w:rPr>
        <w:t>By self-regulation, we refer to standards written and administered by independent privately-run standards setting organizations</w:t>
      </w:r>
      <w:r w:rsidR="007D12C2">
        <w:rPr>
          <w:rFonts w:eastAsia="Times New Roman" w:cs="Times New Roman"/>
          <w:color w:val="000000"/>
          <w:szCs w:val="24"/>
        </w:rPr>
        <w:t xml:space="preserve"> (SSOs)</w:t>
      </w:r>
      <w:r w:rsidR="00E3247A">
        <w:rPr>
          <w:rFonts w:eastAsia="Times New Roman" w:cs="Times New Roman"/>
          <w:color w:val="000000"/>
          <w:szCs w:val="24"/>
        </w:rPr>
        <w:t xml:space="preserve"> or by co</w:t>
      </w:r>
      <w:r w:rsidR="007D12C2">
        <w:rPr>
          <w:rFonts w:eastAsia="Times New Roman" w:cs="Times New Roman"/>
          <w:color w:val="000000"/>
          <w:szCs w:val="24"/>
        </w:rPr>
        <w:t>nsortia of firms who form self-regulatory organizations (SROs</w:t>
      </w:r>
      <w:r w:rsidR="00686BDA">
        <w:rPr>
          <w:rFonts w:eastAsia="Times New Roman" w:cs="Times New Roman"/>
          <w:color w:val="000000"/>
          <w:szCs w:val="24"/>
        </w:rPr>
        <w:t xml:space="preserve">). </w:t>
      </w:r>
      <w:r w:rsidR="00686BDA" w:rsidRPr="00BE4144">
        <w:rPr>
          <w:rFonts w:cs="Times New Roman"/>
        </w:rPr>
        <w:t xml:space="preserve">Self-regulation has a much broader definition, </w:t>
      </w:r>
      <w:r w:rsidR="00686BDA" w:rsidRPr="00BE4144">
        <w:rPr>
          <w:rFonts w:cs="Times New Roman"/>
          <w:i/>
          <w:iCs/>
        </w:rPr>
        <w:t xml:space="preserve">see </w:t>
      </w:r>
      <w:proofErr w:type="gramStart"/>
      <w:r w:rsidR="00686BDA" w:rsidRPr="00BE4144">
        <w:rPr>
          <w:rFonts w:cs="Times New Roman"/>
          <w:i/>
          <w:iCs/>
        </w:rPr>
        <w:t xml:space="preserve">infra </w:t>
      </w:r>
      <w:r w:rsidR="00686BDA" w:rsidRPr="00BE4144">
        <w:rPr>
          <w:rFonts w:cs="Times New Roman"/>
        </w:rPr>
        <w:t>Part</w:t>
      </w:r>
      <w:proofErr w:type="gramEnd"/>
      <w:r w:rsidR="00686BDA" w:rsidRPr="00BE4144">
        <w:rPr>
          <w:rFonts w:cs="Times New Roman"/>
        </w:rPr>
        <w:t xml:space="preserve"> I, but we focus on this subset—a particularly large subset—of self-regulation.</w:t>
      </w:r>
    </w:p>
  </w:footnote>
  <w:footnote w:id="5">
    <w:p w14:paraId="1C1E5CCC" w14:textId="3251DFAF" w:rsidR="00E03927" w:rsidRPr="00D13A30" w:rsidRDefault="00E03927" w:rsidP="00BE4144">
      <w:pPr>
        <w:pStyle w:val="FootnoteText"/>
        <w:jc w:val="both"/>
        <w:rPr>
          <w:rFonts w:eastAsia="Times New Roman" w:cs="Times New Roman"/>
          <w:b/>
          <w:bCs/>
          <w:color w:val="000000"/>
        </w:rPr>
      </w:pPr>
      <w:r w:rsidRPr="00BE4144">
        <w:rPr>
          <w:rStyle w:val="FootnoteReference"/>
          <w:rFonts w:cs="Times New Roman"/>
        </w:rPr>
        <w:footnoteRef/>
      </w:r>
      <w:r w:rsidRPr="00BE4144">
        <w:rPr>
          <w:rFonts w:cs="Times New Roman"/>
        </w:rPr>
        <w:t xml:space="preserve"> </w:t>
      </w:r>
      <w:r w:rsidR="003A2A6A" w:rsidRPr="00BE4144">
        <w:rPr>
          <w:rFonts w:eastAsia="Times New Roman" w:cs="Times New Roman"/>
          <w:color w:val="000000"/>
        </w:rPr>
        <w:t>P</w:t>
      </w:r>
      <w:r w:rsidR="000A7B61" w:rsidRPr="00BE4144">
        <w:rPr>
          <w:rFonts w:eastAsia="Times New Roman" w:cs="Times New Roman"/>
          <w:color w:val="000000"/>
        </w:rPr>
        <w:t>hilip J.</w:t>
      </w:r>
      <w:r w:rsidR="003A2A6A" w:rsidRPr="00BE4144">
        <w:rPr>
          <w:rFonts w:eastAsia="Times New Roman" w:cs="Times New Roman"/>
          <w:color w:val="000000"/>
        </w:rPr>
        <w:t xml:space="preserve"> Weiser, Internet Governance, Standard Setting, and Self-Regulation. </w:t>
      </w:r>
      <w:r w:rsidR="00075911">
        <w:rPr>
          <w:rFonts w:eastAsia="Times New Roman" w:cs="Times New Roman"/>
          <w:color w:val="000000"/>
        </w:rPr>
        <w:t xml:space="preserve">28 </w:t>
      </w:r>
      <w:r w:rsidR="003A2A6A" w:rsidRPr="00403D85">
        <w:rPr>
          <w:rFonts w:eastAsia="Times New Roman" w:cs="Times New Roman"/>
          <w:smallCaps/>
          <w:color w:val="000000"/>
        </w:rPr>
        <w:t>N. Ky. L. Rev</w:t>
      </w:r>
      <w:r w:rsidR="003A2A6A" w:rsidRPr="00BE4144">
        <w:rPr>
          <w:rFonts w:eastAsia="Times New Roman" w:cs="Times New Roman"/>
          <w:i/>
          <w:iCs/>
          <w:color w:val="000000"/>
        </w:rPr>
        <w:t>.</w:t>
      </w:r>
      <w:r w:rsidR="00075911">
        <w:rPr>
          <w:rFonts w:eastAsia="Times New Roman" w:cs="Times New Roman"/>
          <w:color w:val="000000"/>
        </w:rPr>
        <w:t xml:space="preserve"> </w:t>
      </w:r>
      <w:r w:rsidR="00B522AE">
        <w:rPr>
          <w:rFonts w:eastAsia="Times New Roman" w:cs="Times New Roman"/>
          <w:color w:val="000000"/>
        </w:rPr>
        <w:t>822</w:t>
      </w:r>
      <w:r w:rsidR="003A2A6A" w:rsidRPr="00BE4144">
        <w:rPr>
          <w:rFonts w:eastAsia="Times New Roman" w:cs="Times New Roman"/>
          <w:color w:val="000000"/>
        </w:rPr>
        <w:t xml:space="preserve">, 825-26 (2001). </w:t>
      </w:r>
      <w:r w:rsidR="007A506E">
        <w:rPr>
          <w:rFonts w:eastAsia="Times New Roman" w:cs="Times New Roman"/>
          <w:color w:val="000000"/>
        </w:rPr>
        <w:t xml:space="preserve">Our focus on technologically complex, networked industries overlaps substantially with an emerging area of legal scholarship on “Networks, Platforms, and Utilities.” </w:t>
      </w:r>
      <w:r w:rsidR="007A506E">
        <w:rPr>
          <w:rFonts w:eastAsia="Times New Roman" w:cs="Times New Roman"/>
          <w:i/>
          <w:iCs/>
          <w:color w:val="000000"/>
        </w:rPr>
        <w:t>See</w:t>
      </w:r>
      <w:r w:rsidR="007A506E">
        <w:rPr>
          <w:rFonts w:eastAsia="Times New Roman" w:cs="Times New Roman"/>
          <w:color w:val="000000"/>
        </w:rPr>
        <w:t xml:space="preserve"> </w:t>
      </w:r>
      <w:r w:rsidR="008D2F65">
        <w:rPr>
          <w:rFonts w:eastAsia="Times New Roman" w:cs="Times New Roman"/>
          <w:color w:val="000000"/>
        </w:rPr>
        <w:t>Morgan Ricks, Ganesh Sitaraman, Shelley Welton, and Lev Menand, Networks, Platforms, and Utilities: Law and Policy (2022).</w:t>
      </w:r>
    </w:p>
  </w:footnote>
  <w:footnote w:id="6">
    <w:p w14:paraId="4324C7BE" w14:textId="268DBE7E" w:rsidR="008D2F65" w:rsidRPr="00B522AE" w:rsidRDefault="008D2F65">
      <w:pPr>
        <w:pStyle w:val="FootnoteText"/>
      </w:pPr>
      <w:r>
        <w:rPr>
          <w:rStyle w:val="FootnoteReference"/>
        </w:rPr>
        <w:footnoteRef/>
      </w:r>
      <w:r>
        <w:t xml:space="preserve"> A notable exception is </w:t>
      </w:r>
      <w:proofErr w:type="spellStart"/>
      <w:r w:rsidR="00B522AE">
        <w:t>Cristie</w:t>
      </w:r>
      <w:proofErr w:type="spellEnd"/>
      <w:r w:rsidR="00B522AE">
        <w:t xml:space="preserve"> Ford, Innovation and the State: Finance, Regulation, and Justice (2017), although Ford’s focus is more on how innovation itself should be regulated, and ours is more on how regulation facilitates innovation.</w:t>
      </w:r>
    </w:p>
  </w:footnote>
  <w:footnote w:id="7">
    <w:p w14:paraId="2687DF24" w14:textId="07B43449" w:rsidR="00381BDD" w:rsidRPr="00BE4144" w:rsidRDefault="00381BD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proofErr w:type="spellStart"/>
      <w:r w:rsidR="00BB08DB" w:rsidRPr="00BE4144">
        <w:rPr>
          <w:rFonts w:cs="Times New Roman"/>
        </w:rPr>
        <w:t>Mancur</w:t>
      </w:r>
      <w:proofErr w:type="spellEnd"/>
      <w:r w:rsidR="00BB08DB" w:rsidRPr="00BE4144">
        <w:rPr>
          <w:rFonts w:cs="Times New Roman"/>
        </w:rPr>
        <w:t xml:space="preserve"> Olson, Logic of </w:t>
      </w:r>
      <w:r w:rsidR="000A7B61" w:rsidRPr="00BE4144">
        <w:rPr>
          <w:rFonts w:cs="Times New Roman"/>
        </w:rPr>
        <w:t>C</w:t>
      </w:r>
      <w:r w:rsidR="00BB08DB" w:rsidRPr="00BE4144">
        <w:rPr>
          <w:rFonts w:cs="Times New Roman"/>
        </w:rPr>
        <w:t xml:space="preserve">ollective </w:t>
      </w:r>
      <w:r w:rsidR="000A7B61" w:rsidRPr="00BE4144">
        <w:rPr>
          <w:rFonts w:cs="Times New Roman"/>
        </w:rPr>
        <w:t>A</w:t>
      </w:r>
      <w:r w:rsidR="00BB08DB" w:rsidRPr="00BE4144">
        <w:rPr>
          <w:rFonts w:cs="Times New Roman"/>
        </w:rPr>
        <w:t xml:space="preserve">ction: Public </w:t>
      </w:r>
      <w:r w:rsidR="000A7B61" w:rsidRPr="00BE4144">
        <w:rPr>
          <w:rFonts w:cs="Times New Roman"/>
        </w:rPr>
        <w:t>G</w:t>
      </w:r>
      <w:r w:rsidR="00BB08DB" w:rsidRPr="00BE4144">
        <w:rPr>
          <w:rFonts w:cs="Times New Roman"/>
        </w:rPr>
        <w:t xml:space="preserve">oods and the </w:t>
      </w:r>
      <w:r w:rsidR="000A7B61" w:rsidRPr="00BE4144">
        <w:rPr>
          <w:rFonts w:cs="Times New Roman"/>
        </w:rPr>
        <w:t>T</w:t>
      </w:r>
      <w:r w:rsidR="00BB08DB" w:rsidRPr="00BE4144">
        <w:rPr>
          <w:rFonts w:cs="Times New Roman"/>
        </w:rPr>
        <w:t xml:space="preserve">heory of </w:t>
      </w:r>
      <w:r w:rsidR="000A7B61" w:rsidRPr="00BE4144">
        <w:rPr>
          <w:rFonts w:cs="Times New Roman"/>
        </w:rPr>
        <w:t>G</w:t>
      </w:r>
      <w:r w:rsidR="00BB08DB" w:rsidRPr="00BE4144">
        <w:rPr>
          <w:rFonts w:cs="Times New Roman"/>
        </w:rPr>
        <w:t xml:space="preserve">roups (Harvard </w:t>
      </w:r>
      <w:r w:rsidR="000A7B61" w:rsidRPr="00BE4144">
        <w:rPr>
          <w:rFonts w:cs="Times New Roman"/>
        </w:rPr>
        <w:t>E</w:t>
      </w:r>
      <w:r w:rsidR="00BB08DB" w:rsidRPr="00BE4144">
        <w:rPr>
          <w:rFonts w:cs="Times New Roman"/>
        </w:rPr>
        <w:t xml:space="preserve">conomic </w:t>
      </w:r>
      <w:r w:rsidR="000A7B61" w:rsidRPr="00BE4144">
        <w:rPr>
          <w:rFonts w:cs="Times New Roman"/>
        </w:rPr>
        <w:t>S</w:t>
      </w:r>
      <w:r w:rsidR="00BB08DB" w:rsidRPr="00BE4144">
        <w:rPr>
          <w:rFonts w:cs="Times New Roman"/>
        </w:rPr>
        <w:t xml:space="preserve">tudies. </w:t>
      </w:r>
      <w:r w:rsidR="00075911" w:rsidRPr="00BE4144">
        <w:rPr>
          <w:rFonts w:cs="Times New Roman"/>
        </w:rPr>
        <w:t>V</w:t>
      </w:r>
      <w:r w:rsidR="00BB08DB" w:rsidRPr="00BE4144">
        <w:rPr>
          <w:rFonts w:cs="Times New Roman"/>
        </w:rPr>
        <w:t>. 124) (</w:t>
      </w:r>
      <w:r w:rsidR="000A7B61" w:rsidRPr="00BE4144">
        <w:rPr>
          <w:rFonts w:cs="Times New Roman"/>
        </w:rPr>
        <w:t>1965)</w:t>
      </w:r>
      <w:r w:rsidRPr="00BE4144">
        <w:rPr>
          <w:rFonts w:cs="Times New Roman"/>
        </w:rPr>
        <w:t xml:space="preserve">; </w:t>
      </w:r>
      <w:r w:rsidRPr="00BE4144">
        <w:rPr>
          <w:rFonts w:cs="Times New Roman"/>
          <w:color w:val="000000"/>
        </w:rPr>
        <w:t xml:space="preserve">Andrew A. King &amp; Michael Lenox, </w:t>
      </w:r>
      <w:r w:rsidRPr="00BE4144">
        <w:rPr>
          <w:rFonts w:cs="Times New Roman"/>
          <w:i/>
          <w:iCs/>
          <w:color w:val="000000"/>
        </w:rPr>
        <w:t>Industry Self-Regulation Without Sanctions: The Chemical Industry’s Responsible Car Program</w:t>
      </w:r>
      <w:r w:rsidRPr="00BE4144">
        <w:rPr>
          <w:rFonts w:cs="Times New Roman"/>
          <w:color w:val="000000"/>
        </w:rPr>
        <w:t xml:space="preserve">, 43 </w:t>
      </w:r>
      <w:r w:rsidRPr="00BE4144">
        <w:rPr>
          <w:rFonts w:cs="Times New Roman"/>
          <w:smallCaps/>
          <w:color w:val="000000"/>
        </w:rPr>
        <w:t>Academy of Mgmt. J.</w:t>
      </w:r>
      <w:r w:rsidRPr="00BE4144">
        <w:rPr>
          <w:rFonts w:cs="Times New Roman"/>
          <w:color w:val="000000"/>
        </w:rPr>
        <w:t xml:space="preserve"> 698, 702 (2000). </w:t>
      </w:r>
    </w:p>
  </w:footnote>
  <w:footnote w:id="8">
    <w:p w14:paraId="190A45C6" w14:textId="093E23E8" w:rsidR="00DD158D" w:rsidRDefault="00DD158D">
      <w:pPr>
        <w:pStyle w:val="FootnoteText"/>
      </w:pPr>
      <w:r>
        <w:rPr>
          <w:rStyle w:val="FootnoteReference"/>
        </w:rPr>
        <w:footnoteRef/>
      </w:r>
      <w:r>
        <w:t xml:space="preserve"> </w:t>
      </w:r>
      <w:r w:rsidRPr="00BE4144">
        <w:rPr>
          <w:rFonts w:eastAsia="Times New Roman" w:cs="Times New Roman"/>
          <w:smallCaps/>
          <w:color w:val="222222"/>
          <w:shd w:val="clear" w:color="auto" w:fill="FFFFFF"/>
        </w:rPr>
        <w:t>Ian Ayres &amp; J. Braithwaite, J,  Responsive Regulation: Transcending the Deregulation Debate</w:t>
      </w:r>
      <w:r w:rsidRPr="00BE4144">
        <w:rPr>
          <w:rFonts w:eastAsia="Times New Roman" w:cs="Times New Roman"/>
          <w:color w:val="222222"/>
          <w:shd w:val="clear" w:color="auto" w:fill="FFFFFF"/>
        </w:rPr>
        <w:t xml:space="preserve"> (1992); E.S. Bremer, Technical Standards Meet Administrative Law: A Teaching Guide on Incorporation by Reference. </w:t>
      </w:r>
      <w:r>
        <w:rPr>
          <w:rFonts w:eastAsia="Times New Roman" w:cs="Times New Roman"/>
          <w:color w:val="222222"/>
          <w:shd w:val="clear" w:color="auto" w:fill="FFFFFF"/>
        </w:rPr>
        <w:t xml:space="preserve">71 </w:t>
      </w:r>
      <w:r w:rsidRPr="00190F2A">
        <w:rPr>
          <w:rFonts w:eastAsia="Times New Roman" w:cs="Times New Roman"/>
          <w:color w:val="222222"/>
          <w:shd w:val="clear" w:color="auto" w:fill="FFFFFF"/>
        </w:rPr>
        <w:t>Admin. L. Rev.</w:t>
      </w:r>
      <w:r>
        <w:rPr>
          <w:rFonts w:eastAsia="Times New Roman" w:cs="Times New Roman"/>
          <w:color w:val="222222"/>
          <w:shd w:val="clear" w:color="auto" w:fill="FFFFFF"/>
        </w:rPr>
        <w:t xml:space="preserve"> </w:t>
      </w:r>
      <w:r w:rsidRPr="00BE4144">
        <w:rPr>
          <w:rFonts w:eastAsia="Times New Roman" w:cs="Times New Roman"/>
          <w:color w:val="222222"/>
          <w:shd w:val="clear" w:color="auto" w:fill="FFFFFF"/>
        </w:rPr>
        <w:t>315 (2019); Cary Coglianese &amp; E</w:t>
      </w:r>
      <w:r w:rsidR="009236D0">
        <w:rPr>
          <w:rFonts w:eastAsia="Times New Roman" w:cs="Times New Roman"/>
          <w:color w:val="222222"/>
          <w:shd w:val="clear" w:color="auto" w:fill="FFFFFF"/>
        </w:rPr>
        <w:t>van</w:t>
      </w:r>
      <w:r w:rsidRPr="00BE4144">
        <w:rPr>
          <w:rFonts w:eastAsia="Times New Roman" w:cs="Times New Roman"/>
          <w:color w:val="222222"/>
          <w:shd w:val="clear" w:color="auto" w:fill="FFFFFF"/>
        </w:rPr>
        <w:t xml:space="preserve"> Mendelson</w:t>
      </w:r>
      <w:r w:rsidR="009236D0">
        <w:rPr>
          <w:rFonts w:eastAsia="Times New Roman" w:cs="Times New Roman"/>
          <w:color w:val="222222"/>
          <w:shd w:val="clear" w:color="auto" w:fill="FFFFFF"/>
        </w:rPr>
        <w:t>,</w:t>
      </w:r>
      <w:r w:rsidRPr="00BE4144">
        <w:rPr>
          <w:rFonts w:eastAsia="Times New Roman" w:cs="Times New Roman"/>
          <w:color w:val="222222"/>
          <w:shd w:val="clear" w:color="auto" w:fill="FFFFFF"/>
        </w:rPr>
        <w:t xml:space="preserve"> </w:t>
      </w:r>
      <w:r w:rsidRPr="00403D85">
        <w:rPr>
          <w:rFonts w:eastAsia="Times New Roman" w:cs="Times New Roman"/>
          <w:i/>
          <w:iCs/>
          <w:color w:val="222222"/>
          <w:shd w:val="clear" w:color="auto" w:fill="FFFFFF"/>
        </w:rPr>
        <w:t>Meta-</w:t>
      </w:r>
      <w:r w:rsidR="009236D0" w:rsidRPr="00403D85">
        <w:rPr>
          <w:rFonts w:eastAsia="Times New Roman" w:cs="Times New Roman"/>
          <w:i/>
          <w:iCs/>
          <w:color w:val="222222"/>
          <w:shd w:val="clear" w:color="auto" w:fill="FFFFFF"/>
        </w:rPr>
        <w:t>R</w:t>
      </w:r>
      <w:r w:rsidRPr="00403D85">
        <w:rPr>
          <w:rFonts w:eastAsia="Times New Roman" w:cs="Times New Roman"/>
          <w:i/>
          <w:iCs/>
          <w:color w:val="222222"/>
          <w:shd w:val="clear" w:color="auto" w:fill="FFFFFF"/>
        </w:rPr>
        <w:t xml:space="preserve">egulation and </w:t>
      </w:r>
      <w:r w:rsidR="009236D0" w:rsidRPr="00403D85">
        <w:rPr>
          <w:rFonts w:eastAsia="Times New Roman" w:cs="Times New Roman"/>
          <w:i/>
          <w:iCs/>
          <w:color w:val="222222"/>
          <w:shd w:val="clear" w:color="auto" w:fill="FFFFFF"/>
        </w:rPr>
        <w:t>S</w:t>
      </w:r>
      <w:r w:rsidRPr="00403D85">
        <w:rPr>
          <w:rFonts w:eastAsia="Times New Roman" w:cs="Times New Roman"/>
          <w:i/>
          <w:iCs/>
          <w:color w:val="222222"/>
          <w:shd w:val="clear" w:color="auto" w:fill="FFFFFF"/>
        </w:rPr>
        <w:t>elf-</w:t>
      </w:r>
      <w:r w:rsidR="009236D0" w:rsidRPr="00403D85">
        <w:rPr>
          <w:rFonts w:eastAsia="Times New Roman" w:cs="Times New Roman"/>
          <w:i/>
          <w:iCs/>
          <w:color w:val="222222"/>
          <w:shd w:val="clear" w:color="auto" w:fill="FFFFFF"/>
        </w:rPr>
        <w:t>R</w:t>
      </w:r>
      <w:r w:rsidRPr="00403D85">
        <w:rPr>
          <w:rFonts w:eastAsia="Times New Roman" w:cs="Times New Roman"/>
          <w:i/>
          <w:iCs/>
          <w:color w:val="222222"/>
          <w:shd w:val="clear" w:color="auto" w:fill="FFFFFF"/>
        </w:rPr>
        <w:t>egulation</w:t>
      </w:r>
      <w:r w:rsidRPr="00BE4144">
        <w:rPr>
          <w:rFonts w:eastAsia="Times New Roman" w:cs="Times New Roman"/>
          <w:color w:val="222222"/>
          <w:shd w:val="clear" w:color="auto" w:fill="FFFFFF"/>
        </w:rPr>
        <w:t xml:space="preserve">, </w:t>
      </w:r>
      <w:r w:rsidR="009236D0">
        <w:rPr>
          <w:rFonts w:eastAsia="Times New Roman" w:cs="Times New Roman"/>
          <w:color w:val="222222"/>
          <w:shd w:val="clear" w:color="auto" w:fill="FFFFFF"/>
        </w:rPr>
        <w:t>in Oxford Handbook of Regulation</w:t>
      </w:r>
      <w:r w:rsidRPr="00BE4144">
        <w:rPr>
          <w:rFonts w:eastAsia="Times New Roman" w:cs="Times New Roman"/>
          <w:color w:val="222222"/>
          <w:shd w:val="clear" w:color="auto" w:fill="FFFFFF"/>
        </w:rPr>
        <w:t xml:space="preserve"> (2010); Cary Coglianese &amp; Jennifer Nash, </w:t>
      </w:r>
      <w:r w:rsidRPr="00BE4144">
        <w:rPr>
          <w:rFonts w:eastAsia="Times New Roman" w:cs="Times New Roman"/>
          <w:i/>
          <w:iCs/>
          <w:color w:val="222222"/>
          <w:shd w:val="clear" w:color="auto" w:fill="FFFFFF"/>
        </w:rPr>
        <w:t>Motivating Without Mandates: The Role of Voluntary Programs in Environmental Governance</w:t>
      </w:r>
      <w:r w:rsidRPr="00BE4144">
        <w:rPr>
          <w:rFonts w:eastAsia="Times New Roman" w:cs="Times New Roman"/>
          <w:color w:val="222222"/>
          <w:shd w:val="clear" w:color="auto" w:fill="FFFFFF"/>
        </w:rPr>
        <w:t xml:space="preserve">, </w:t>
      </w:r>
      <w:r w:rsidRPr="00BE4144">
        <w:rPr>
          <w:rFonts w:eastAsia="Times New Roman" w:cs="Times New Roman"/>
          <w:i/>
          <w:iCs/>
          <w:color w:val="222222"/>
          <w:shd w:val="clear" w:color="auto" w:fill="FFFFFF"/>
        </w:rPr>
        <w:t xml:space="preserve">in </w:t>
      </w:r>
      <w:r w:rsidRPr="00BE4144">
        <w:rPr>
          <w:rFonts w:eastAsia="Times New Roman" w:cs="Times New Roman"/>
          <w:smallCaps/>
          <w:color w:val="222222"/>
          <w:shd w:val="clear" w:color="auto" w:fill="FFFFFF"/>
        </w:rPr>
        <w:t>Decision Making in Environmental Law</w:t>
      </w:r>
      <w:r w:rsidRPr="00BE4144">
        <w:rPr>
          <w:rFonts w:eastAsia="Times New Roman" w:cs="Times New Roman"/>
          <w:color w:val="222222"/>
          <w:shd w:val="clear" w:color="auto" w:fill="FFFFFF"/>
        </w:rPr>
        <w:t xml:space="preserve"> (Lee Paddock, Robert Glicksman, and Nicholas S. Bryner, eds., 2016); P. </w:t>
      </w:r>
      <w:proofErr w:type="spellStart"/>
      <w:r w:rsidRPr="00BE4144">
        <w:rPr>
          <w:rFonts w:eastAsia="Times New Roman" w:cs="Times New Roman"/>
          <w:color w:val="222222"/>
        </w:rPr>
        <w:t>Grajzl</w:t>
      </w:r>
      <w:proofErr w:type="spellEnd"/>
      <w:r w:rsidRPr="00BE4144">
        <w:rPr>
          <w:rFonts w:eastAsia="Times New Roman" w:cs="Times New Roman"/>
          <w:color w:val="222222"/>
        </w:rPr>
        <w:t xml:space="preserve">  &amp; P. Murrell, Allocating Lawmaking Powers: Self-Regulation vs. Government Regulation. </w:t>
      </w:r>
      <w:r w:rsidR="00075911">
        <w:rPr>
          <w:rFonts w:eastAsia="Times New Roman" w:cs="Times New Roman"/>
          <w:color w:val="222222"/>
        </w:rPr>
        <w:t xml:space="preserve">35 </w:t>
      </w:r>
      <w:proofErr w:type="gramStart"/>
      <w:r w:rsidRPr="00403D85">
        <w:rPr>
          <w:rFonts w:eastAsia="Times New Roman" w:cs="Times New Roman"/>
          <w:smallCaps/>
          <w:color w:val="222222"/>
        </w:rPr>
        <w:t>Science</w:t>
      </w:r>
      <w:proofErr w:type="gramEnd"/>
      <w:r w:rsidRPr="00403D85">
        <w:rPr>
          <w:rFonts w:eastAsia="Times New Roman" w:cs="Times New Roman"/>
          <w:smallCaps/>
          <w:color w:val="222222"/>
        </w:rPr>
        <w:t xml:space="preserve"> Direct</w:t>
      </w:r>
      <w:r w:rsidRPr="00BE4144">
        <w:rPr>
          <w:rFonts w:eastAsia="Times New Roman" w:cs="Times New Roman"/>
          <w:color w:val="222222"/>
        </w:rPr>
        <w:t>, 520-545 (2007).</w:t>
      </w:r>
    </w:p>
  </w:footnote>
  <w:footnote w:id="9">
    <w:p w14:paraId="2DB215F6" w14:textId="44CF845D" w:rsidR="00E03927" w:rsidRPr="00BE4144" w:rsidRDefault="00E03927" w:rsidP="00BE4144">
      <w:pPr>
        <w:pStyle w:val="FootnoteText"/>
        <w:jc w:val="both"/>
        <w:rPr>
          <w:rFonts w:eastAsia="Times New Roman" w:cs="Times New Roman"/>
          <w:color w:val="000000"/>
        </w:rPr>
      </w:pPr>
      <w:r w:rsidRPr="00BE4144">
        <w:rPr>
          <w:rStyle w:val="FootnoteReference"/>
          <w:rFonts w:cs="Times New Roman"/>
        </w:rPr>
        <w:footnoteRef/>
      </w:r>
      <w:r w:rsidRPr="00BE4144">
        <w:rPr>
          <w:rFonts w:cs="Times New Roman"/>
        </w:rPr>
        <w:t xml:space="preserve"> </w:t>
      </w:r>
      <w:r w:rsidR="00DD0E41" w:rsidRPr="00BE4144">
        <w:rPr>
          <w:rFonts w:cs="Times New Roman"/>
        </w:rPr>
        <w:t xml:space="preserve">Amanda Leiter, </w:t>
      </w:r>
      <w:r w:rsidR="00DD0E41" w:rsidRPr="00BE4144">
        <w:rPr>
          <w:rFonts w:eastAsia="Times New Roman" w:cs="Times New Roman"/>
          <w:color w:val="222222"/>
        </w:rPr>
        <w:t xml:space="preserve">Fracking, Federalism, and Private Governance, 39 </w:t>
      </w:r>
      <w:r w:rsidR="00DD0E41" w:rsidRPr="00BE4144">
        <w:rPr>
          <w:rFonts w:eastAsia="Times New Roman" w:cs="Times New Roman"/>
          <w:smallCaps/>
          <w:color w:val="222222"/>
        </w:rPr>
        <w:t>Harv. Env’t L. Rev</w:t>
      </w:r>
      <w:r w:rsidR="00DD0E41" w:rsidRPr="00BE4144">
        <w:rPr>
          <w:rFonts w:eastAsia="Times New Roman" w:cs="Times New Roman"/>
          <w:i/>
          <w:iCs/>
          <w:color w:val="222222"/>
        </w:rPr>
        <w:t>.</w:t>
      </w:r>
      <w:r w:rsidR="00DD0E41" w:rsidRPr="00BE4144">
        <w:rPr>
          <w:rFonts w:eastAsia="Times New Roman" w:cs="Times New Roman"/>
          <w:color w:val="222222"/>
        </w:rPr>
        <w:t>, 107 (2015)</w:t>
      </w:r>
      <w:r w:rsidRPr="00BE4144">
        <w:rPr>
          <w:rFonts w:eastAsia="Times New Roman" w:cs="Times New Roman"/>
          <w:color w:val="000000"/>
        </w:rPr>
        <w:t xml:space="preserve">; </w:t>
      </w:r>
      <w:r w:rsidR="00BA4772" w:rsidRPr="00BE4144">
        <w:rPr>
          <w:rFonts w:eastAsia="Times New Roman" w:cs="Times New Roman"/>
          <w:color w:val="000000"/>
        </w:rPr>
        <w:t>Aseem Prakash</w:t>
      </w:r>
      <w:r w:rsidR="007C111A" w:rsidRPr="00BE4144">
        <w:rPr>
          <w:rFonts w:eastAsia="Times New Roman" w:cs="Times New Roman"/>
          <w:color w:val="000000"/>
        </w:rPr>
        <w:t xml:space="preserve"> &amp; Matthew Potoski, </w:t>
      </w:r>
      <w:r w:rsidR="007C111A" w:rsidRPr="00BE4144">
        <w:rPr>
          <w:rFonts w:eastAsia="Times New Roman" w:cs="Times New Roman"/>
          <w:i/>
          <w:iCs/>
          <w:color w:val="000000"/>
        </w:rPr>
        <w:t>Voluntary Environmental Programs: A Comparative Perspective</w:t>
      </w:r>
      <w:r w:rsidR="007C111A" w:rsidRPr="00BE4144">
        <w:rPr>
          <w:rFonts w:eastAsia="Times New Roman" w:cs="Times New Roman"/>
          <w:color w:val="000000"/>
        </w:rPr>
        <w:t>,</w:t>
      </w:r>
      <w:r w:rsidR="003A2B90" w:rsidRPr="00BE4144">
        <w:rPr>
          <w:rFonts w:eastAsia="Times New Roman" w:cs="Times New Roman"/>
          <w:color w:val="000000"/>
        </w:rPr>
        <w:t xml:space="preserve"> 21</w:t>
      </w:r>
      <w:r w:rsidR="007C111A" w:rsidRPr="00BE4144">
        <w:rPr>
          <w:rFonts w:eastAsia="Times New Roman" w:cs="Times New Roman"/>
          <w:color w:val="000000"/>
        </w:rPr>
        <w:t xml:space="preserve"> </w:t>
      </w:r>
      <w:r w:rsidR="007C111A" w:rsidRPr="00BE4144">
        <w:rPr>
          <w:rFonts w:eastAsia="Times New Roman" w:cs="Times New Roman"/>
          <w:smallCaps/>
          <w:color w:val="000000"/>
        </w:rPr>
        <w:t>J. Poly. Analysis &amp; Management</w:t>
      </w:r>
      <w:r w:rsidR="007C111A" w:rsidRPr="00BE4144">
        <w:rPr>
          <w:rFonts w:eastAsia="Times New Roman" w:cs="Times New Roman"/>
          <w:color w:val="000000"/>
        </w:rPr>
        <w:t xml:space="preserve"> </w:t>
      </w:r>
      <w:r w:rsidR="003A2B90" w:rsidRPr="00BE4144">
        <w:rPr>
          <w:rFonts w:eastAsia="Times New Roman" w:cs="Times New Roman"/>
          <w:color w:val="000000"/>
        </w:rPr>
        <w:t xml:space="preserve">123 </w:t>
      </w:r>
      <w:r w:rsidR="007C111A" w:rsidRPr="00BE4144">
        <w:rPr>
          <w:rFonts w:eastAsia="Times New Roman" w:cs="Times New Roman"/>
          <w:color w:val="000000"/>
        </w:rPr>
        <w:t>(2011)</w:t>
      </w:r>
      <w:r w:rsidRPr="00BE4144">
        <w:rPr>
          <w:rFonts w:eastAsia="Times New Roman" w:cs="Times New Roman"/>
          <w:color w:val="000000"/>
        </w:rPr>
        <w:t>;</w:t>
      </w:r>
      <w:r w:rsidR="000A1CCB" w:rsidRPr="00BE4144">
        <w:rPr>
          <w:rFonts w:eastAsia="Times New Roman" w:cs="Times New Roman"/>
          <w:color w:val="222222"/>
          <w:shd w:val="clear" w:color="auto" w:fill="FFFFFF"/>
        </w:rPr>
        <w:t xml:space="preserve"> Michael P. </w:t>
      </w:r>
      <w:r w:rsidR="000A1CCB" w:rsidRPr="00BE4144">
        <w:rPr>
          <w:rFonts w:eastAsia="Times New Roman" w:cs="Times New Roman"/>
          <w:color w:val="000000"/>
        </w:rPr>
        <w:t xml:space="preserve">Vandenbergh &amp; </w:t>
      </w:r>
      <w:r w:rsidR="009236D0">
        <w:rPr>
          <w:rFonts w:eastAsia="Times New Roman" w:cs="Times New Roman"/>
          <w:color w:val="000000"/>
        </w:rPr>
        <w:t>Jonathan M</w:t>
      </w:r>
      <w:r w:rsidR="000A1CCB" w:rsidRPr="00BE4144">
        <w:rPr>
          <w:rFonts w:eastAsia="Times New Roman" w:cs="Times New Roman"/>
          <w:color w:val="000000"/>
        </w:rPr>
        <w:t>. Gilligan,</w:t>
      </w:r>
      <w:r w:rsidR="000A1CCB" w:rsidRPr="00BE4144">
        <w:rPr>
          <w:rFonts w:eastAsia="Times New Roman" w:cs="Times New Roman"/>
          <w:smallCaps/>
          <w:color w:val="000000"/>
        </w:rPr>
        <w:t> Beyond Politics</w:t>
      </w:r>
      <w:r w:rsidR="000A1CCB" w:rsidRPr="00BE4144">
        <w:rPr>
          <w:rFonts w:eastAsia="Times New Roman" w:cs="Times New Roman"/>
          <w:i/>
          <w:iCs/>
          <w:color w:val="000000"/>
        </w:rPr>
        <w:t xml:space="preserve"> </w:t>
      </w:r>
      <w:r w:rsidR="000A1CCB" w:rsidRPr="00BE4144">
        <w:rPr>
          <w:rFonts w:eastAsia="Times New Roman" w:cs="Times New Roman"/>
          <w:color w:val="000000"/>
        </w:rPr>
        <w:t>(2017).  </w:t>
      </w:r>
    </w:p>
  </w:footnote>
  <w:footnote w:id="10">
    <w:p w14:paraId="4E9ED490" w14:textId="5E09AEB0" w:rsidR="00007423" w:rsidRPr="00BE4144" w:rsidRDefault="00007423"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2979B3" w:rsidRPr="00BE4144">
        <w:rPr>
          <w:rFonts w:eastAsia="Times New Roman" w:cs="Times New Roman"/>
          <w:color w:val="000000"/>
        </w:rPr>
        <w:t xml:space="preserve">Amy Stein, </w:t>
      </w:r>
      <w:r w:rsidR="002979B3" w:rsidRPr="00BE4144">
        <w:rPr>
          <w:rFonts w:eastAsia="Times New Roman" w:cs="Times New Roman"/>
          <w:color w:val="222222"/>
          <w:shd w:val="clear" w:color="auto" w:fill="FFFFFF"/>
        </w:rPr>
        <w:t xml:space="preserve">Reconsidering Regulatory Uncertainty: Making a Case for Energy Storage. 41 </w:t>
      </w:r>
      <w:r w:rsidR="002979B3" w:rsidRPr="00403D85">
        <w:rPr>
          <w:rFonts w:eastAsia="Times New Roman" w:cs="Times New Roman"/>
          <w:smallCaps/>
          <w:color w:val="222222"/>
          <w:shd w:val="clear" w:color="auto" w:fill="FFFFFF"/>
        </w:rPr>
        <w:t>Fl. St. U. L. Rev.</w:t>
      </w:r>
      <w:r w:rsidR="002979B3" w:rsidRPr="00BE4144">
        <w:rPr>
          <w:rFonts w:eastAsia="Times New Roman" w:cs="Times New Roman"/>
          <w:i/>
          <w:iCs/>
          <w:color w:val="222222"/>
          <w:shd w:val="clear" w:color="auto" w:fill="FFFFFF"/>
        </w:rPr>
        <w:t xml:space="preserve"> </w:t>
      </w:r>
      <w:r w:rsidR="002979B3" w:rsidRPr="00BE4144">
        <w:rPr>
          <w:rFonts w:eastAsia="Times New Roman" w:cs="Times New Roman"/>
          <w:color w:val="222222"/>
          <w:shd w:val="clear" w:color="auto" w:fill="FFFFFF"/>
        </w:rPr>
        <w:t>697 (2013);</w:t>
      </w:r>
      <w:r w:rsidR="002979B3" w:rsidRPr="00BE4144">
        <w:rPr>
          <w:rFonts w:eastAsia="Times New Roman" w:cs="Times New Roman"/>
          <w:color w:val="000000"/>
        </w:rPr>
        <w:t xml:space="preserve"> </w:t>
      </w:r>
      <w:r w:rsidR="00F636BE" w:rsidRPr="00BE4144">
        <w:rPr>
          <w:rFonts w:eastAsia="Times New Roman" w:cs="Times New Roman"/>
          <w:color w:val="000000"/>
        </w:rPr>
        <w:t xml:space="preserve">Sarah Light, Precautionary </w:t>
      </w:r>
      <w:proofErr w:type="gramStart"/>
      <w:r w:rsidR="00F636BE" w:rsidRPr="00BE4144">
        <w:rPr>
          <w:rFonts w:eastAsia="Times New Roman" w:cs="Times New Roman"/>
          <w:color w:val="000000"/>
        </w:rPr>
        <w:t>Federalism</w:t>
      </w:r>
      <w:proofErr w:type="gramEnd"/>
      <w:r w:rsidR="00F636BE" w:rsidRPr="00BE4144">
        <w:rPr>
          <w:rFonts w:eastAsia="Times New Roman" w:cs="Times New Roman"/>
          <w:color w:val="000000"/>
        </w:rPr>
        <w:t xml:space="preserve"> and the Sharing Economy, 66 </w:t>
      </w:r>
      <w:r w:rsidR="00F636BE" w:rsidRPr="00403D85">
        <w:rPr>
          <w:rFonts w:eastAsia="Times New Roman" w:cs="Times New Roman"/>
          <w:smallCaps/>
          <w:color w:val="000000"/>
        </w:rPr>
        <w:t>Emory L.J.</w:t>
      </w:r>
      <w:r w:rsidR="00F636BE" w:rsidRPr="00BE4144">
        <w:rPr>
          <w:rFonts w:eastAsia="Times New Roman" w:cs="Times New Roman"/>
          <w:color w:val="000000"/>
        </w:rPr>
        <w:t xml:space="preserve"> 333 (2017). </w:t>
      </w:r>
    </w:p>
  </w:footnote>
  <w:footnote w:id="11">
    <w:p w14:paraId="4D77FB48" w14:textId="7C38238F" w:rsidR="00924635" w:rsidRPr="00BE4144" w:rsidRDefault="00924635" w:rsidP="00BE4144">
      <w:pPr>
        <w:pStyle w:val="FootnoteText"/>
        <w:jc w:val="both"/>
        <w:rPr>
          <w:rFonts w:eastAsia="Times New Roman" w:cs="Times New Roman"/>
          <w:color w:val="000000"/>
        </w:rPr>
      </w:pPr>
      <w:r w:rsidRPr="00BE4144">
        <w:rPr>
          <w:rStyle w:val="FootnoteReference"/>
          <w:rFonts w:cs="Times New Roman"/>
        </w:rPr>
        <w:footnoteRef/>
      </w:r>
      <w:r w:rsidRPr="00BE4144">
        <w:rPr>
          <w:rFonts w:cs="Times New Roman"/>
        </w:rPr>
        <w:t xml:space="preserve"> </w:t>
      </w:r>
      <w:r w:rsidR="00980458" w:rsidRPr="00BE4144">
        <w:rPr>
          <w:rFonts w:eastAsia="Times New Roman" w:cs="Times New Roman"/>
          <w:i/>
          <w:iCs/>
          <w:color w:val="000000"/>
        </w:rPr>
        <w:t>See, e.g.</w:t>
      </w:r>
      <w:r w:rsidR="00980458" w:rsidRPr="00BE4144">
        <w:rPr>
          <w:rFonts w:eastAsia="Times New Roman" w:cs="Times New Roman"/>
          <w:color w:val="000000"/>
        </w:rPr>
        <w:t xml:space="preserve">, </w:t>
      </w:r>
      <w:r w:rsidR="003F6EA2" w:rsidRPr="00BE4144">
        <w:rPr>
          <w:rFonts w:eastAsia="Times New Roman" w:cs="Times New Roman"/>
          <w:color w:val="000000"/>
        </w:rPr>
        <w:t xml:space="preserve">E. Mansfield, </w:t>
      </w:r>
      <w:r w:rsidR="003F6EA2" w:rsidRPr="00BE4144">
        <w:rPr>
          <w:rFonts w:eastAsia="Times New Roman" w:cs="Times New Roman"/>
          <w:color w:val="222222"/>
        </w:rPr>
        <w:t xml:space="preserve">Patents and Innovation: An Empirical Study, </w:t>
      </w:r>
      <w:r w:rsidR="00167C7E" w:rsidRPr="00BE4144">
        <w:rPr>
          <w:rFonts w:eastAsia="Times New Roman" w:cs="Times New Roman"/>
          <w:color w:val="222222"/>
        </w:rPr>
        <w:t xml:space="preserve">32 </w:t>
      </w:r>
      <w:r w:rsidR="003F6EA2" w:rsidRPr="00BE4144">
        <w:rPr>
          <w:rFonts w:eastAsia="Times New Roman" w:cs="Times New Roman"/>
          <w:i/>
          <w:iCs/>
          <w:color w:val="222222"/>
        </w:rPr>
        <w:t>M</w:t>
      </w:r>
      <w:r w:rsidR="00167C7E" w:rsidRPr="00BE4144">
        <w:rPr>
          <w:rFonts w:eastAsia="Times New Roman" w:cs="Times New Roman"/>
          <w:i/>
          <w:iCs/>
          <w:color w:val="222222"/>
        </w:rPr>
        <w:t>gmt.</w:t>
      </w:r>
      <w:r w:rsidR="003F6EA2" w:rsidRPr="00BE4144">
        <w:rPr>
          <w:rFonts w:eastAsia="Times New Roman" w:cs="Times New Roman"/>
          <w:i/>
          <w:iCs/>
          <w:color w:val="222222"/>
        </w:rPr>
        <w:t xml:space="preserve"> Sci</w:t>
      </w:r>
      <w:r w:rsidR="003F6EA2" w:rsidRPr="00BE4144">
        <w:rPr>
          <w:rFonts w:eastAsia="Times New Roman" w:cs="Times New Roman"/>
          <w:color w:val="222222"/>
        </w:rPr>
        <w:t xml:space="preserve">. (1986); </w:t>
      </w:r>
      <w:r w:rsidR="003C540D" w:rsidRPr="00BE4144">
        <w:rPr>
          <w:rFonts w:eastAsia="Times New Roman" w:cs="Times New Roman"/>
          <w:color w:val="222222"/>
        </w:rPr>
        <w:t xml:space="preserve">B. </w:t>
      </w:r>
      <w:r w:rsidR="00980458" w:rsidRPr="00BE4144">
        <w:rPr>
          <w:rFonts w:eastAsia="Times New Roman" w:cs="Times New Roman"/>
          <w:color w:val="000000"/>
        </w:rPr>
        <w:t>Frischmann</w:t>
      </w:r>
      <w:r w:rsidR="003C540D" w:rsidRPr="00BE4144">
        <w:rPr>
          <w:rFonts w:eastAsia="Times New Roman" w:cs="Times New Roman"/>
          <w:color w:val="000000"/>
        </w:rPr>
        <w:t xml:space="preserve">, </w:t>
      </w:r>
      <w:r w:rsidR="003C540D" w:rsidRPr="00BE4144">
        <w:rPr>
          <w:rFonts w:eastAsia="Times New Roman" w:cs="Times New Roman"/>
          <w:color w:val="222222"/>
          <w:shd w:val="clear" w:color="auto" w:fill="FFFFFF"/>
        </w:rPr>
        <w:t xml:space="preserve">Innovation and Institutions: Rethinking the Economics of U.S. Science and Technology Policy, 24 </w:t>
      </w:r>
      <w:r w:rsidR="003C540D" w:rsidRPr="00403D85">
        <w:rPr>
          <w:rFonts w:eastAsia="Times New Roman" w:cs="Times New Roman"/>
          <w:smallCaps/>
          <w:color w:val="222222"/>
          <w:shd w:val="clear" w:color="auto" w:fill="FFFFFF"/>
        </w:rPr>
        <w:t>Vt. L. Rev.</w:t>
      </w:r>
      <w:r w:rsidR="003C540D" w:rsidRPr="00BE4144">
        <w:rPr>
          <w:rFonts w:eastAsia="Times New Roman" w:cs="Times New Roman"/>
          <w:color w:val="222222"/>
          <w:shd w:val="clear" w:color="auto" w:fill="FFFFFF"/>
        </w:rPr>
        <w:t xml:space="preserve"> 347 (2000)</w:t>
      </w:r>
      <w:r w:rsidR="00980458" w:rsidRPr="00BE4144">
        <w:rPr>
          <w:rFonts w:eastAsia="Times New Roman" w:cs="Times New Roman"/>
          <w:color w:val="000000"/>
        </w:rPr>
        <w:t>;</w:t>
      </w:r>
      <w:r w:rsidR="002444C7" w:rsidRPr="00BE4144">
        <w:rPr>
          <w:rFonts w:eastAsia="Times New Roman" w:cs="Times New Roman"/>
          <w:color w:val="000000"/>
        </w:rPr>
        <w:t xml:space="preserve"> D.J. Hemel &amp; Ouellette, </w:t>
      </w:r>
      <w:r w:rsidR="002444C7" w:rsidRPr="00BE4144">
        <w:rPr>
          <w:rFonts w:eastAsia="Times New Roman" w:cs="Times New Roman"/>
        </w:rPr>
        <w:t xml:space="preserve">Beyond the Patents-Prizes Debate, 92 Tex. L. Rev. 303 (2013); </w:t>
      </w:r>
      <w:r w:rsidR="003104A3" w:rsidRPr="00BE4144">
        <w:rPr>
          <w:rFonts w:eastAsia="Times New Roman" w:cs="Times New Roman"/>
          <w:smallCaps/>
        </w:rPr>
        <w:t xml:space="preserve">Z. Wang &amp; Alan Krupnick, </w:t>
      </w:r>
      <w:r w:rsidR="003104A3" w:rsidRPr="00BE4144">
        <w:rPr>
          <w:rFonts w:eastAsia="Times New Roman" w:cs="Times New Roman"/>
          <w:smallCaps/>
          <w:color w:val="222222"/>
        </w:rPr>
        <w:t>A Retrospective Review of Shale Gas Development in the United States: What Led to the Boom</w:t>
      </w:r>
      <w:r w:rsidR="003104A3" w:rsidRPr="00BE4144">
        <w:rPr>
          <w:rFonts w:eastAsia="Times New Roman" w:cs="Times New Roman"/>
          <w:color w:val="222222"/>
        </w:rPr>
        <w:t>? (2013)</w:t>
      </w:r>
      <w:r w:rsidR="00980458" w:rsidRPr="00BE4144">
        <w:rPr>
          <w:rFonts w:eastAsia="Times New Roman" w:cs="Times New Roman"/>
          <w:color w:val="000000"/>
        </w:rPr>
        <w:t xml:space="preserve">; </w:t>
      </w:r>
      <w:r w:rsidR="008239BA" w:rsidRPr="00BE4144">
        <w:rPr>
          <w:rFonts w:eastAsia="Times New Roman" w:cs="Times New Roman"/>
          <w:color w:val="000000"/>
        </w:rPr>
        <w:t xml:space="preserve">John </w:t>
      </w:r>
      <w:r w:rsidR="00980458" w:rsidRPr="00BE4144">
        <w:rPr>
          <w:rFonts w:eastAsia="Times New Roman" w:cs="Times New Roman"/>
          <w:color w:val="000000"/>
        </w:rPr>
        <w:t xml:space="preserve">Golden &amp; </w:t>
      </w:r>
      <w:r w:rsidR="008239BA" w:rsidRPr="00BE4144">
        <w:rPr>
          <w:rFonts w:eastAsia="Times New Roman" w:cs="Times New Roman"/>
          <w:color w:val="000000"/>
        </w:rPr>
        <w:t>Hannah J. Wiseman, The Fracking Revolution: Shale Gas as a Case Study in Innovation Policy, 64 Emory L. J., 955-1040</w:t>
      </w:r>
      <w:r w:rsidR="004E24A6" w:rsidRPr="00BE4144">
        <w:rPr>
          <w:rFonts w:eastAsia="Times New Roman" w:cs="Times New Roman"/>
          <w:color w:val="000000"/>
        </w:rPr>
        <w:t xml:space="preserve"> (2015)</w:t>
      </w:r>
      <w:r w:rsidR="00980458" w:rsidRPr="00BE4144">
        <w:rPr>
          <w:rFonts w:eastAsia="Times New Roman" w:cs="Times New Roman"/>
          <w:color w:val="000000"/>
        </w:rPr>
        <w:t xml:space="preserve">; </w:t>
      </w:r>
      <w:r w:rsidR="00CB7A9F" w:rsidRPr="00BE4144">
        <w:rPr>
          <w:rFonts w:eastAsia="Times New Roman" w:cs="Times New Roman"/>
          <w:color w:val="000000"/>
        </w:rPr>
        <w:t xml:space="preserve">Yochai </w:t>
      </w:r>
      <w:proofErr w:type="spellStart"/>
      <w:r w:rsidR="00CB7A9F" w:rsidRPr="00BE4144">
        <w:rPr>
          <w:rFonts w:eastAsia="Times New Roman" w:cs="Times New Roman"/>
          <w:color w:val="000000"/>
        </w:rPr>
        <w:t>Benckler</w:t>
      </w:r>
      <w:proofErr w:type="spellEnd"/>
      <w:r w:rsidR="00CB7A9F" w:rsidRPr="00BE4144">
        <w:rPr>
          <w:rFonts w:eastAsia="Times New Roman" w:cs="Times New Roman"/>
          <w:color w:val="000000"/>
        </w:rPr>
        <w:t xml:space="preserve">, Peer Production, The Commons, and The Future of the Firm, 15 </w:t>
      </w:r>
      <w:r w:rsidR="00CB7A9F" w:rsidRPr="00BE4144">
        <w:rPr>
          <w:rFonts w:eastAsia="Times New Roman" w:cs="Times New Roman"/>
          <w:i/>
          <w:iCs/>
          <w:color w:val="000000"/>
        </w:rPr>
        <w:t>Strategic Organization</w:t>
      </w:r>
      <w:r w:rsidR="00CB7A9F" w:rsidRPr="00BE4144">
        <w:rPr>
          <w:rFonts w:eastAsia="Times New Roman" w:cs="Times New Roman"/>
          <w:color w:val="000000"/>
        </w:rPr>
        <w:t xml:space="preserve"> 264-274 (</w:t>
      </w:r>
      <w:r w:rsidR="0079577A" w:rsidRPr="00BE4144">
        <w:rPr>
          <w:rFonts w:eastAsia="Times New Roman" w:cs="Times New Roman"/>
          <w:color w:val="000000"/>
        </w:rPr>
        <w:t xml:space="preserve">2017). </w:t>
      </w:r>
      <w:r w:rsidR="0079577A" w:rsidRPr="00BE4144">
        <w:rPr>
          <w:rFonts w:cs="Times New Roman"/>
          <w:color w:val="000000"/>
        </w:rPr>
        <w:t>There are</w:t>
      </w:r>
      <w:r w:rsidRPr="00BE4144">
        <w:rPr>
          <w:rFonts w:cs="Times New Roman"/>
          <w:color w:val="000000"/>
        </w:rPr>
        <w:t xml:space="preserve"> </w:t>
      </w:r>
      <w:r w:rsidR="00171A96" w:rsidRPr="00BE4144">
        <w:rPr>
          <w:rFonts w:cs="Times New Roman"/>
          <w:color w:val="000000"/>
        </w:rPr>
        <w:t>important</w:t>
      </w:r>
      <w:r w:rsidRPr="00BE4144">
        <w:rPr>
          <w:rFonts w:cs="Times New Roman"/>
          <w:color w:val="000000"/>
        </w:rPr>
        <w:t xml:space="preserve"> exceptions to this, directly linking self-regulation and standardization to innovation, although largely focusing on individual sectors rather than emerging industries more broadly.</w:t>
      </w:r>
      <w:r w:rsidR="0079577A" w:rsidRPr="00BE4144">
        <w:rPr>
          <w:rFonts w:cs="Times New Roman"/>
          <w:color w:val="000000"/>
        </w:rPr>
        <w:t xml:space="preserve"> </w:t>
      </w:r>
      <w:r w:rsidR="006B66CE" w:rsidRPr="00BE4144">
        <w:rPr>
          <w:rFonts w:cs="Times New Roman"/>
          <w:color w:val="000000"/>
        </w:rPr>
        <w:t xml:space="preserve">Timothy Craig Allen, Regulating Artificial Intelligence for a Successful Pathology Future, 143 Arch. </w:t>
      </w:r>
      <w:proofErr w:type="spellStart"/>
      <w:r w:rsidR="006B66CE" w:rsidRPr="00BE4144">
        <w:rPr>
          <w:rFonts w:cs="Times New Roman"/>
          <w:color w:val="000000"/>
        </w:rPr>
        <w:t>Pathol</w:t>
      </w:r>
      <w:proofErr w:type="spellEnd"/>
      <w:r w:rsidR="006B66CE" w:rsidRPr="00BE4144">
        <w:rPr>
          <w:rFonts w:cs="Times New Roman"/>
          <w:color w:val="000000"/>
        </w:rPr>
        <w:t xml:space="preserve">. Lab. Med. </w:t>
      </w:r>
      <w:r w:rsidR="00AD25FC" w:rsidRPr="00BE4144">
        <w:rPr>
          <w:rFonts w:cs="Times New Roman"/>
          <w:color w:val="000000"/>
        </w:rPr>
        <w:t xml:space="preserve">1175 (2019); </w:t>
      </w:r>
      <w:r w:rsidR="003A737B" w:rsidRPr="00BE4144">
        <w:rPr>
          <w:rFonts w:cs="Times New Roman"/>
          <w:color w:val="000000"/>
          <w:shd w:val="clear" w:color="auto" w:fill="FFFFFF"/>
        </w:rPr>
        <w:t>Molly Cohen &amp; Arun Sundararajan, Self-</w:t>
      </w:r>
      <w:proofErr w:type="gramStart"/>
      <w:r w:rsidR="003A737B" w:rsidRPr="00BE4144">
        <w:rPr>
          <w:rFonts w:cs="Times New Roman"/>
          <w:color w:val="000000"/>
          <w:shd w:val="clear" w:color="auto" w:fill="FFFFFF"/>
        </w:rPr>
        <w:t>Regulation</w:t>
      </w:r>
      <w:proofErr w:type="gramEnd"/>
      <w:r w:rsidR="003A737B" w:rsidRPr="00BE4144">
        <w:rPr>
          <w:rFonts w:cs="Times New Roman"/>
          <w:color w:val="000000"/>
          <w:shd w:val="clear" w:color="auto" w:fill="FFFFFF"/>
        </w:rPr>
        <w:t xml:space="preserve"> and Innovation in the Peer-to-Peer Sharing Economy, 82 </w:t>
      </w:r>
      <w:r w:rsidR="003A737B" w:rsidRPr="00BE4144">
        <w:rPr>
          <w:rStyle w:val="Emphasis"/>
          <w:rFonts w:cs="Times New Roman"/>
          <w:color w:val="000000"/>
          <w:bdr w:val="none" w:sz="0" w:space="0" w:color="auto" w:frame="1"/>
          <w:shd w:val="clear" w:color="auto" w:fill="FFFFFF"/>
        </w:rPr>
        <w:t xml:space="preserve">University of Chic. L. Rev. Online </w:t>
      </w:r>
      <w:r w:rsidR="003A737B" w:rsidRPr="00BE4144">
        <w:rPr>
          <w:rFonts w:cs="Times New Roman"/>
          <w:color w:val="000000"/>
          <w:shd w:val="clear" w:color="auto" w:fill="FFFFFF"/>
        </w:rPr>
        <w:t>116</w:t>
      </w:r>
      <w:r w:rsidR="00BF7FC3" w:rsidRPr="00BE4144">
        <w:rPr>
          <w:rFonts w:cs="Times New Roman"/>
          <w:color w:val="000000"/>
          <w:shd w:val="clear" w:color="auto" w:fill="FFFFFF"/>
        </w:rPr>
        <w:t xml:space="preserve"> (2015);</w:t>
      </w:r>
      <w:r w:rsidR="0079577A" w:rsidRPr="00BE4144">
        <w:rPr>
          <w:rFonts w:cs="Times New Roman"/>
          <w:color w:val="000000"/>
        </w:rPr>
        <w:t xml:space="preserve"> </w:t>
      </w:r>
      <w:r w:rsidR="00BF7FC3" w:rsidRPr="00BE4144">
        <w:rPr>
          <w:rFonts w:cs="Times New Roman"/>
          <w:color w:val="000000"/>
        </w:rPr>
        <w:t xml:space="preserve">Christodoulos </w:t>
      </w:r>
      <w:proofErr w:type="spellStart"/>
      <w:r w:rsidR="0079577A" w:rsidRPr="00BE4144">
        <w:rPr>
          <w:rFonts w:cs="Times New Roman"/>
          <w:color w:val="000000"/>
        </w:rPr>
        <w:t>Stefanadis</w:t>
      </w:r>
      <w:proofErr w:type="spellEnd"/>
      <w:r w:rsidR="00171A96" w:rsidRPr="00BE4144">
        <w:rPr>
          <w:rFonts w:cs="Times New Roman"/>
          <w:color w:val="000000"/>
        </w:rPr>
        <w:t>, Self-Regulation, Innovation, and the Financial Industry, 23 J. Reg. Econ. 5</w:t>
      </w:r>
      <w:r w:rsidR="0079577A" w:rsidRPr="00BE4144">
        <w:rPr>
          <w:rFonts w:cs="Times New Roman"/>
          <w:color w:val="000000"/>
        </w:rPr>
        <w:t xml:space="preserve"> </w:t>
      </w:r>
      <w:r w:rsidR="00171A96" w:rsidRPr="00BE4144">
        <w:rPr>
          <w:rFonts w:cs="Times New Roman"/>
          <w:color w:val="000000"/>
        </w:rPr>
        <w:t>(</w:t>
      </w:r>
      <w:r w:rsidR="0079577A" w:rsidRPr="00BE4144">
        <w:rPr>
          <w:rFonts w:cs="Times New Roman"/>
          <w:color w:val="000000"/>
        </w:rPr>
        <w:t>2003</w:t>
      </w:r>
      <w:r w:rsidR="00171A96" w:rsidRPr="00BE4144">
        <w:rPr>
          <w:rFonts w:cs="Times New Roman"/>
          <w:color w:val="000000"/>
        </w:rPr>
        <w:t>)</w:t>
      </w:r>
      <w:r w:rsidR="0079577A" w:rsidRPr="00BE4144">
        <w:rPr>
          <w:rFonts w:cs="Times New Roman"/>
          <w:color w:val="000000"/>
        </w:rPr>
        <w:t xml:space="preserve">; </w:t>
      </w:r>
      <w:r w:rsidR="00FC6AF1" w:rsidRPr="00BE4144">
        <w:rPr>
          <w:rFonts w:cs="Times New Roman"/>
          <w:color w:val="000000"/>
        </w:rPr>
        <w:t xml:space="preserve">Paul Moritz Wiegmann, Felix Eggers, Henk J. de Vries &amp; Knut Blind, Competing Standard-Setting Organizations: A Choice Experiment, 51 </w:t>
      </w:r>
      <w:r w:rsidR="00FC6AF1" w:rsidRPr="00BE4144">
        <w:rPr>
          <w:rFonts w:cs="Times New Roman"/>
          <w:smallCaps/>
          <w:color w:val="000000"/>
        </w:rPr>
        <w:t>Research Poly</w:t>
      </w:r>
      <w:r w:rsidR="00FC6AF1" w:rsidRPr="00BE4144">
        <w:rPr>
          <w:rFonts w:cs="Times New Roman"/>
          <w:color w:val="000000"/>
        </w:rPr>
        <w:t xml:space="preserve">. (2022). </w:t>
      </w:r>
    </w:p>
  </w:footnote>
  <w:footnote w:id="12">
    <w:p w14:paraId="36F6C263" w14:textId="27D2F55F" w:rsidR="00A510DA" w:rsidRPr="009236D0" w:rsidRDefault="00A510DA">
      <w:pPr>
        <w:pStyle w:val="FootnoteText"/>
      </w:pPr>
      <w:r>
        <w:rPr>
          <w:rStyle w:val="FootnoteReference"/>
        </w:rPr>
        <w:footnoteRef/>
      </w:r>
      <w:r>
        <w:t xml:space="preserve"> </w:t>
      </w:r>
      <w:r w:rsidR="009236D0">
        <w:t xml:space="preserve">Ricks, Sitaraman, Welton, &amp; Menand, </w:t>
      </w:r>
      <w:r w:rsidR="009236D0">
        <w:rPr>
          <w:i/>
          <w:iCs/>
        </w:rPr>
        <w:t xml:space="preserve">supra </w:t>
      </w:r>
      <w:r w:rsidR="009236D0">
        <w:t xml:space="preserve">note </w:t>
      </w:r>
      <w:r w:rsidR="009236D0">
        <w:fldChar w:fldCharType="begin"/>
      </w:r>
      <w:r w:rsidR="009236D0">
        <w:instrText xml:space="preserve"> NOTEREF _Ref142310404 \h </w:instrText>
      </w:r>
      <w:r w:rsidR="009236D0">
        <w:fldChar w:fldCharType="separate"/>
      </w:r>
      <w:r w:rsidR="009236D0">
        <w:t>5</w:t>
      </w:r>
      <w:r w:rsidR="009236D0">
        <w:fldChar w:fldCharType="end"/>
      </w:r>
      <w:r w:rsidR="009236D0">
        <w:t>.</w:t>
      </w:r>
    </w:p>
  </w:footnote>
  <w:footnote w:id="13">
    <w:p w14:paraId="4E65307E" w14:textId="7B7F636D" w:rsidR="00C127F6" w:rsidRPr="00BE4144" w:rsidRDefault="00C127F6"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981DA8" w:rsidRPr="00BE4144">
        <w:rPr>
          <w:rFonts w:cs="Times New Roman"/>
          <w:i/>
          <w:iCs/>
        </w:rPr>
        <w:t>See, e.g.</w:t>
      </w:r>
      <w:r w:rsidR="00981DA8" w:rsidRPr="00BE4144">
        <w:rPr>
          <w:rFonts w:cs="Times New Roman"/>
        </w:rPr>
        <w:t xml:space="preserve">, Coglianese &amp; Mendelson, </w:t>
      </w:r>
      <w:r w:rsidR="00981DA8" w:rsidRPr="00BE4144">
        <w:rPr>
          <w:rFonts w:cs="Times New Roman"/>
          <w:i/>
          <w:iCs/>
        </w:rPr>
        <w:t>sup</w:t>
      </w:r>
      <w:r w:rsidR="0071583B" w:rsidRPr="00BE4144">
        <w:rPr>
          <w:rFonts w:cs="Times New Roman"/>
          <w:i/>
          <w:iCs/>
        </w:rPr>
        <w:t xml:space="preserve">ra </w:t>
      </w:r>
      <w:r w:rsidR="0071583B" w:rsidRPr="00BE4144">
        <w:rPr>
          <w:rFonts w:cs="Times New Roman"/>
        </w:rPr>
        <w:t xml:space="preserve">note </w:t>
      </w:r>
      <w:r w:rsidR="00075911">
        <w:rPr>
          <w:rFonts w:cs="Times New Roman"/>
        </w:rPr>
        <w:fldChar w:fldCharType="begin"/>
      </w:r>
      <w:r w:rsidR="00075911">
        <w:rPr>
          <w:rFonts w:cs="Times New Roman"/>
        </w:rPr>
        <w:instrText xml:space="preserve"> NOTEREF _Ref142240148 \h </w:instrText>
      </w:r>
      <w:r w:rsidR="00075911">
        <w:rPr>
          <w:rFonts w:cs="Times New Roman"/>
        </w:rPr>
      </w:r>
      <w:r w:rsidR="00075911">
        <w:rPr>
          <w:rFonts w:cs="Times New Roman"/>
        </w:rPr>
        <w:fldChar w:fldCharType="separate"/>
      </w:r>
      <w:r w:rsidR="00075911">
        <w:rPr>
          <w:rFonts w:cs="Times New Roman"/>
        </w:rPr>
        <w:t>8</w:t>
      </w:r>
      <w:r w:rsidR="00075911">
        <w:rPr>
          <w:rFonts w:cs="Times New Roman"/>
        </w:rPr>
        <w:fldChar w:fldCharType="end"/>
      </w:r>
      <w:r w:rsidR="00BB53F4" w:rsidRPr="00BE4144">
        <w:rPr>
          <w:rFonts w:cs="Times New Roman"/>
        </w:rPr>
        <w:fldChar w:fldCharType="begin"/>
      </w:r>
      <w:r w:rsidR="00BB53F4" w:rsidRPr="00BE4144">
        <w:rPr>
          <w:rFonts w:cs="Times New Roman"/>
        </w:rPr>
        <w:instrText xml:space="preserve"> NOTEREF _Ref141790499 \h </w:instrText>
      </w:r>
      <w:r w:rsidR="00BE4144" w:rsidRPr="00BE4144">
        <w:rPr>
          <w:rFonts w:cs="Times New Roman"/>
        </w:rPr>
        <w:instrText xml:space="preserve"> \* MERGEFORMAT </w:instrText>
      </w:r>
      <w:r w:rsidR="00BB53F4" w:rsidRPr="00BE4144">
        <w:rPr>
          <w:rFonts w:cs="Times New Roman"/>
        </w:rPr>
      </w:r>
      <w:r w:rsidR="00BB53F4" w:rsidRPr="00BE4144">
        <w:rPr>
          <w:rFonts w:cs="Times New Roman"/>
        </w:rPr>
        <w:fldChar w:fldCharType="separate"/>
      </w:r>
      <w:r w:rsidR="00BB53F4" w:rsidRPr="00BE4144">
        <w:rPr>
          <w:rFonts w:cs="Times New Roman"/>
        </w:rPr>
        <w:t>7</w:t>
      </w:r>
      <w:r w:rsidR="00BB53F4" w:rsidRPr="00BE4144">
        <w:rPr>
          <w:rFonts w:cs="Times New Roman"/>
        </w:rPr>
        <w:fldChar w:fldCharType="end"/>
      </w:r>
      <w:r w:rsidR="0071583B" w:rsidRPr="00BE4144">
        <w:rPr>
          <w:rFonts w:cs="Times New Roman"/>
        </w:rPr>
        <w:t xml:space="preserve">, at 161; </w:t>
      </w:r>
      <w:r w:rsidR="001548BE" w:rsidRPr="00BE4144">
        <w:rPr>
          <w:rFonts w:cs="Times New Roman"/>
          <w:smallCaps/>
        </w:rPr>
        <w:t>F.C. Simon, Meta-Regulation in Practice: Beyond Normative Views of Mortality and Rationality</w:t>
      </w:r>
      <w:r w:rsidR="001548BE" w:rsidRPr="00BE4144">
        <w:rPr>
          <w:rFonts w:cs="Times New Roman"/>
        </w:rPr>
        <w:t xml:space="preserve"> (2017).</w:t>
      </w:r>
    </w:p>
  </w:footnote>
  <w:footnote w:id="14">
    <w:p w14:paraId="5329C1A7" w14:textId="1AA08E3C" w:rsidR="00980458" w:rsidRPr="00BE4144" w:rsidRDefault="00980458"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Coglianese &amp; Mendelson</w:t>
      </w:r>
      <w:r w:rsidR="00BB53F4" w:rsidRPr="00BE4144">
        <w:rPr>
          <w:rFonts w:eastAsia="Times New Roman" w:cs="Times New Roman"/>
          <w:color w:val="000000"/>
        </w:rPr>
        <w:t xml:space="preserve">, </w:t>
      </w:r>
      <w:r w:rsidR="00BB53F4" w:rsidRPr="00BE4144">
        <w:rPr>
          <w:rFonts w:eastAsia="Times New Roman" w:cs="Times New Roman"/>
          <w:i/>
          <w:iCs/>
          <w:color w:val="000000"/>
        </w:rPr>
        <w:t xml:space="preserve">supra </w:t>
      </w:r>
      <w:r w:rsidR="00BB53F4" w:rsidRPr="00BE4144">
        <w:rPr>
          <w:rFonts w:eastAsia="Times New Roman" w:cs="Times New Roman"/>
          <w:color w:val="000000"/>
        </w:rPr>
        <w:t xml:space="preserve">note </w:t>
      </w:r>
      <w:r w:rsidR="00BB53F4" w:rsidRPr="00BE4144">
        <w:rPr>
          <w:rFonts w:cs="Times New Roman"/>
        </w:rPr>
        <w:fldChar w:fldCharType="begin"/>
      </w:r>
      <w:r w:rsidR="00BB53F4" w:rsidRPr="00BE4144">
        <w:rPr>
          <w:rFonts w:cs="Times New Roman"/>
        </w:rPr>
        <w:instrText xml:space="preserve"> NOTEREF _Ref141790499 \h </w:instrText>
      </w:r>
      <w:r w:rsidR="00BE4144" w:rsidRPr="00BE4144">
        <w:rPr>
          <w:rFonts w:cs="Times New Roman"/>
        </w:rPr>
        <w:instrText xml:space="preserve"> \* MERGEFORMAT </w:instrText>
      </w:r>
      <w:r w:rsidR="00BB53F4" w:rsidRPr="00BE4144">
        <w:rPr>
          <w:rFonts w:cs="Times New Roman"/>
        </w:rPr>
      </w:r>
      <w:r w:rsidR="00BB53F4" w:rsidRPr="00BE4144">
        <w:rPr>
          <w:rFonts w:cs="Times New Roman"/>
        </w:rPr>
        <w:fldChar w:fldCharType="separate"/>
      </w:r>
      <w:r w:rsidR="00BB53F4" w:rsidRPr="00BE4144">
        <w:rPr>
          <w:rFonts w:cs="Times New Roman"/>
        </w:rPr>
        <w:t>7</w:t>
      </w:r>
      <w:r w:rsidR="00BB53F4" w:rsidRPr="00BE4144">
        <w:rPr>
          <w:rFonts w:cs="Times New Roman"/>
        </w:rPr>
        <w:fldChar w:fldCharType="end"/>
      </w:r>
      <w:r w:rsidR="00BB53F4" w:rsidRPr="00BE4144">
        <w:rPr>
          <w:rFonts w:cs="Times New Roman"/>
        </w:rPr>
        <w:t>, at</w:t>
      </w:r>
      <w:r w:rsidRPr="00BE4144">
        <w:rPr>
          <w:rFonts w:eastAsia="Times New Roman" w:cs="Times New Roman"/>
          <w:color w:val="000000"/>
        </w:rPr>
        <w:t xml:space="preserve"> 1</w:t>
      </w:r>
      <w:r w:rsidR="00BB53F4" w:rsidRPr="00BE4144">
        <w:rPr>
          <w:rFonts w:eastAsia="Times New Roman" w:cs="Times New Roman"/>
          <w:color w:val="000000"/>
        </w:rPr>
        <w:t>.</w:t>
      </w:r>
    </w:p>
  </w:footnote>
  <w:footnote w:id="15">
    <w:p w14:paraId="0EEFE163" w14:textId="470F10FF" w:rsidR="00924635" w:rsidRPr="00BE4144" w:rsidRDefault="00924635" w:rsidP="00BE4144">
      <w:pPr>
        <w:pStyle w:val="FootnoteText"/>
        <w:jc w:val="both"/>
        <w:rPr>
          <w:rFonts w:cs="Times New Roman"/>
          <w:b/>
          <w:bCs/>
        </w:rPr>
      </w:pPr>
      <w:r w:rsidRPr="00BE4144">
        <w:rPr>
          <w:rStyle w:val="FootnoteReference"/>
          <w:rFonts w:cs="Times New Roman"/>
        </w:rPr>
        <w:footnoteRef/>
      </w:r>
      <w:r w:rsidRPr="00BE4144">
        <w:rPr>
          <w:rFonts w:cs="Times New Roman"/>
        </w:rPr>
        <w:t xml:space="preserve"> </w:t>
      </w:r>
      <w:r w:rsidR="00BB53F4" w:rsidRPr="00BE4144">
        <w:rPr>
          <w:rFonts w:eastAsia="Times New Roman" w:cs="Times New Roman"/>
          <w:color w:val="000000"/>
        </w:rPr>
        <w:t xml:space="preserve">Coglianese &amp; Mendelson, </w:t>
      </w:r>
      <w:r w:rsidR="00BB53F4" w:rsidRPr="00BE4144">
        <w:rPr>
          <w:rFonts w:eastAsia="Times New Roman" w:cs="Times New Roman"/>
          <w:i/>
          <w:iCs/>
          <w:color w:val="000000"/>
        </w:rPr>
        <w:t xml:space="preserve">supra </w:t>
      </w:r>
      <w:r w:rsidR="00BB53F4" w:rsidRPr="00BE4144">
        <w:rPr>
          <w:rFonts w:eastAsia="Times New Roman" w:cs="Times New Roman"/>
          <w:color w:val="000000"/>
        </w:rPr>
        <w:t xml:space="preserve">note </w:t>
      </w:r>
      <w:r w:rsidR="00BB53F4" w:rsidRPr="00BE4144">
        <w:rPr>
          <w:rFonts w:cs="Times New Roman"/>
        </w:rPr>
        <w:fldChar w:fldCharType="begin"/>
      </w:r>
      <w:r w:rsidR="00BB53F4" w:rsidRPr="00BE4144">
        <w:rPr>
          <w:rFonts w:cs="Times New Roman"/>
        </w:rPr>
        <w:instrText xml:space="preserve"> NOTEREF _Ref141790499 \h </w:instrText>
      </w:r>
      <w:r w:rsidR="00BE4144" w:rsidRPr="00BE4144">
        <w:rPr>
          <w:rFonts w:cs="Times New Roman"/>
        </w:rPr>
        <w:instrText xml:space="preserve"> \* MERGEFORMAT </w:instrText>
      </w:r>
      <w:r w:rsidR="00BB53F4" w:rsidRPr="00BE4144">
        <w:rPr>
          <w:rFonts w:cs="Times New Roman"/>
        </w:rPr>
      </w:r>
      <w:r w:rsidR="00BB53F4" w:rsidRPr="00BE4144">
        <w:rPr>
          <w:rFonts w:cs="Times New Roman"/>
        </w:rPr>
        <w:fldChar w:fldCharType="separate"/>
      </w:r>
      <w:r w:rsidR="00BB53F4" w:rsidRPr="00BE4144">
        <w:rPr>
          <w:rFonts w:cs="Times New Roman"/>
        </w:rPr>
        <w:t>7</w:t>
      </w:r>
      <w:r w:rsidR="00BB53F4" w:rsidRPr="00BE4144">
        <w:rPr>
          <w:rFonts w:cs="Times New Roman"/>
        </w:rPr>
        <w:fldChar w:fldCharType="end"/>
      </w:r>
      <w:r w:rsidR="00BB53F4" w:rsidRPr="00BE4144">
        <w:rPr>
          <w:rFonts w:cs="Times New Roman"/>
        </w:rPr>
        <w:t xml:space="preserve">, at </w:t>
      </w:r>
      <w:r w:rsidR="00980458" w:rsidRPr="00BE4144">
        <w:rPr>
          <w:rFonts w:eastAsia="Times New Roman" w:cs="Times New Roman"/>
          <w:color w:val="000000"/>
        </w:rPr>
        <w:t xml:space="preserve">6; </w:t>
      </w:r>
      <w:r w:rsidR="00684C5F" w:rsidRPr="00BE4144">
        <w:rPr>
          <w:rFonts w:eastAsia="Times New Roman" w:cs="Times New Roman"/>
          <w:color w:val="000000"/>
        </w:rPr>
        <w:t xml:space="preserve">J.W. </w:t>
      </w:r>
      <w:r w:rsidR="00980458" w:rsidRPr="00BE4144">
        <w:rPr>
          <w:rFonts w:eastAsia="Times New Roman" w:cs="Times New Roman"/>
          <w:color w:val="000000"/>
        </w:rPr>
        <w:t>Maxwell,</w:t>
      </w:r>
      <w:r w:rsidR="00684C5F" w:rsidRPr="00BE4144">
        <w:rPr>
          <w:rFonts w:eastAsia="Times New Roman" w:cs="Times New Roman"/>
          <w:color w:val="000000"/>
        </w:rPr>
        <w:t xml:space="preserve"> T.P.</w:t>
      </w:r>
      <w:r w:rsidR="00980458" w:rsidRPr="00BE4144">
        <w:rPr>
          <w:rFonts w:eastAsia="Times New Roman" w:cs="Times New Roman"/>
          <w:color w:val="000000"/>
        </w:rPr>
        <w:t xml:space="preserve"> Lyon, &amp; </w:t>
      </w:r>
      <w:r w:rsidR="00684C5F" w:rsidRPr="00BE4144">
        <w:rPr>
          <w:rFonts w:eastAsia="Times New Roman" w:cs="Times New Roman"/>
          <w:color w:val="000000"/>
        </w:rPr>
        <w:t xml:space="preserve">S.C. </w:t>
      </w:r>
      <w:r w:rsidR="00980458" w:rsidRPr="00BE4144">
        <w:rPr>
          <w:rFonts w:eastAsia="Times New Roman" w:cs="Times New Roman"/>
          <w:color w:val="000000"/>
        </w:rPr>
        <w:t xml:space="preserve">Hackett </w:t>
      </w:r>
      <w:r w:rsidR="008B2A78" w:rsidRPr="00BE4144">
        <w:rPr>
          <w:rFonts w:eastAsia="Times New Roman" w:cs="Times New Roman"/>
          <w:color w:val="222222"/>
          <w:shd w:val="clear" w:color="auto" w:fill="FFFFFF"/>
        </w:rPr>
        <w:t>Self-</w:t>
      </w:r>
      <w:proofErr w:type="gramStart"/>
      <w:r w:rsidR="008B2A78" w:rsidRPr="00BE4144">
        <w:rPr>
          <w:rFonts w:eastAsia="Times New Roman" w:cs="Times New Roman"/>
          <w:color w:val="222222"/>
          <w:shd w:val="clear" w:color="auto" w:fill="FFFFFF"/>
        </w:rPr>
        <w:t>regulation</w:t>
      </w:r>
      <w:proofErr w:type="gramEnd"/>
      <w:r w:rsidR="008B2A78" w:rsidRPr="00BE4144">
        <w:rPr>
          <w:rFonts w:eastAsia="Times New Roman" w:cs="Times New Roman"/>
          <w:color w:val="222222"/>
          <w:shd w:val="clear" w:color="auto" w:fill="FFFFFF"/>
        </w:rPr>
        <w:t xml:space="preserve"> and social welfare: The political economy of corporate environmentalism,  J. Law &amp; Econ. 43, 583-618 (2000). </w:t>
      </w:r>
      <w:r w:rsidRPr="00BE4144">
        <w:rPr>
          <w:rFonts w:cs="Times New Roman"/>
          <w:color w:val="000000"/>
        </w:rPr>
        <w:t>When government regulators maintain some form of oversight and control of firm- or individual-level regulation, regulatory scholars call that “meta-regulation</w:t>
      </w:r>
      <w:r w:rsidR="00DF60C4" w:rsidRPr="00BE4144">
        <w:rPr>
          <w:rFonts w:cs="Times New Roman"/>
          <w:color w:val="000000"/>
        </w:rPr>
        <w:t>.</w:t>
      </w:r>
      <w:r w:rsidRPr="00BE4144">
        <w:rPr>
          <w:rFonts w:cs="Times New Roman"/>
          <w:color w:val="000000"/>
        </w:rPr>
        <w:t xml:space="preserve">” </w:t>
      </w:r>
      <w:r w:rsidR="008B2A78" w:rsidRPr="00BE4144">
        <w:rPr>
          <w:rFonts w:eastAsia="Times New Roman" w:cs="Times New Roman"/>
          <w:color w:val="000000"/>
        </w:rPr>
        <w:t xml:space="preserve">Coglianese &amp; Mendelson, </w:t>
      </w:r>
      <w:r w:rsidR="008B2A78" w:rsidRPr="00BE4144">
        <w:rPr>
          <w:rFonts w:eastAsia="Times New Roman" w:cs="Times New Roman"/>
          <w:i/>
          <w:iCs/>
          <w:color w:val="000000"/>
        </w:rPr>
        <w:t xml:space="preserve">supra </w:t>
      </w:r>
      <w:r w:rsidR="008B2A78" w:rsidRPr="00BE4144">
        <w:rPr>
          <w:rFonts w:eastAsia="Times New Roman" w:cs="Times New Roman"/>
          <w:color w:val="000000"/>
        </w:rPr>
        <w:t xml:space="preserve">note </w:t>
      </w:r>
      <w:r w:rsidR="008B2A78" w:rsidRPr="00BE4144">
        <w:rPr>
          <w:rFonts w:cs="Times New Roman"/>
        </w:rPr>
        <w:fldChar w:fldCharType="begin"/>
      </w:r>
      <w:r w:rsidR="008B2A78" w:rsidRPr="00BE4144">
        <w:rPr>
          <w:rFonts w:cs="Times New Roman"/>
        </w:rPr>
        <w:instrText xml:space="preserve"> NOTEREF _Ref141790499 \h </w:instrText>
      </w:r>
      <w:r w:rsidR="00BE4144" w:rsidRPr="00BE4144">
        <w:rPr>
          <w:rFonts w:cs="Times New Roman"/>
        </w:rPr>
        <w:instrText xml:space="preserve"> \* MERGEFORMAT </w:instrText>
      </w:r>
      <w:r w:rsidR="008B2A78" w:rsidRPr="00BE4144">
        <w:rPr>
          <w:rFonts w:cs="Times New Roman"/>
        </w:rPr>
      </w:r>
      <w:r w:rsidR="008B2A78" w:rsidRPr="00BE4144">
        <w:rPr>
          <w:rFonts w:cs="Times New Roman"/>
        </w:rPr>
        <w:fldChar w:fldCharType="separate"/>
      </w:r>
      <w:r w:rsidR="008B2A78" w:rsidRPr="00BE4144">
        <w:rPr>
          <w:rFonts w:cs="Times New Roman"/>
        </w:rPr>
        <w:t>7</w:t>
      </w:r>
      <w:r w:rsidR="008B2A78" w:rsidRPr="00BE4144">
        <w:rPr>
          <w:rFonts w:cs="Times New Roman"/>
        </w:rPr>
        <w:fldChar w:fldCharType="end"/>
      </w:r>
      <w:r w:rsidR="008B2A78" w:rsidRPr="00BE4144">
        <w:rPr>
          <w:rFonts w:cs="Times New Roman"/>
        </w:rPr>
        <w:t xml:space="preserve">. </w:t>
      </w:r>
      <w:r w:rsidRPr="00BE4144">
        <w:rPr>
          <w:rFonts w:cs="Times New Roman"/>
          <w:color w:val="000000"/>
        </w:rPr>
        <w:t>Such meta-regulation can occur in all different shades of gray: sometimes government regulators incorporate private industry standards by reference</w:t>
      </w:r>
      <w:r w:rsidR="00DF60C4" w:rsidRPr="00BE4144">
        <w:rPr>
          <w:rFonts w:cs="Times New Roman"/>
          <w:color w:val="000000"/>
        </w:rPr>
        <w:t xml:space="preserve">; </w:t>
      </w:r>
      <w:r w:rsidRPr="00BE4144">
        <w:rPr>
          <w:rFonts w:cs="Times New Roman"/>
          <w:color w:val="000000"/>
        </w:rPr>
        <w:t>other times government regulators maintain some kind of loose process of review over self-regulatory organizations</w:t>
      </w:r>
      <w:r w:rsidR="00DF60C4" w:rsidRPr="00BE4144">
        <w:rPr>
          <w:rFonts w:cs="Times New Roman"/>
          <w:color w:val="000000"/>
        </w:rPr>
        <w:t xml:space="preserve">. Bremer, </w:t>
      </w:r>
      <w:r w:rsidR="00DF60C4" w:rsidRPr="00BE4144">
        <w:rPr>
          <w:rFonts w:cs="Times New Roman"/>
          <w:i/>
          <w:iCs/>
          <w:color w:val="000000"/>
        </w:rPr>
        <w:t xml:space="preserve">supra </w:t>
      </w:r>
      <w:r w:rsidR="00DF60C4" w:rsidRPr="00BE4144">
        <w:rPr>
          <w:rFonts w:cs="Times New Roman"/>
          <w:color w:val="000000"/>
        </w:rPr>
        <w:t xml:space="preserve">note </w:t>
      </w:r>
      <w:r w:rsidR="0063709F">
        <w:rPr>
          <w:rFonts w:cs="Times New Roman"/>
        </w:rPr>
        <w:t>8</w:t>
      </w:r>
      <w:r w:rsidR="00DF60C4" w:rsidRPr="00BE4144">
        <w:rPr>
          <w:rFonts w:cs="Times New Roman"/>
        </w:rPr>
        <w:t>;</w:t>
      </w:r>
      <w:r w:rsidR="0031458B" w:rsidRPr="00BE4144">
        <w:rPr>
          <w:rFonts w:cs="Times New Roman"/>
        </w:rPr>
        <w:t xml:space="preserve"> Emily Hammond, </w:t>
      </w:r>
      <w:r w:rsidR="0031458B" w:rsidRPr="00BE4144">
        <w:rPr>
          <w:rFonts w:eastAsia="Times New Roman" w:cs="Times New Roman"/>
          <w:color w:val="222222"/>
          <w:shd w:val="clear" w:color="auto" w:fill="FFFFFF"/>
        </w:rPr>
        <w:t xml:space="preserve">Double Deference in Administrative Law, 116 </w:t>
      </w:r>
      <w:r w:rsidR="0031458B" w:rsidRPr="00BE4144">
        <w:rPr>
          <w:rFonts w:eastAsia="Times New Roman" w:cs="Times New Roman"/>
          <w:i/>
          <w:iCs/>
          <w:color w:val="222222"/>
          <w:shd w:val="clear" w:color="auto" w:fill="FFFFFF"/>
        </w:rPr>
        <w:t>Colum. L. Rev.</w:t>
      </w:r>
      <w:r w:rsidR="0031458B" w:rsidRPr="00BE4144">
        <w:rPr>
          <w:rFonts w:eastAsia="Times New Roman" w:cs="Times New Roman"/>
          <w:color w:val="222222"/>
          <w:shd w:val="clear" w:color="auto" w:fill="FFFFFF"/>
        </w:rPr>
        <w:t xml:space="preserve"> 1705 </w:t>
      </w:r>
      <w:r w:rsidR="00C62A01" w:rsidRPr="00BE4144">
        <w:rPr>
          <w:rFonts w:eastAsia="Times New Roman" w:cs="Times New Roman"/>
          <w:color w:val="222222"/>
          <w:shd w:val="clear" w:color="auto" w:fill="FFFFFF"/>
        </w:rPr>
        <w:t>(2016)</w:t>
      </w:r>
      <w:r w:rsidR="0031458B" w:rsidRPr="00BE4144">
        <w:rPr>
          <w:rFonts w:eastAsia="Times New Roman" w:cs="Times New Roman"/>
          <w:color w:val="222222"/>
          <w:shd w:val="clear" w:color="auto" w:fill="FFFFFF"/>
        </w:rPr>
        <w:t>.</w:t>
      </w:r>
      <w:r w:rsidR="0031458B" w:rsidRPr="00BE4144">
        <w:rPr>
          <w:rFonts w:eastAsia="Times New Roman" w:cs="Times New Roman"/>
          <w:color w:val="222222"/>
        </w:rPr>
        <w:t> </w:t>
      </w:r>
      <w:r w:rsidR="00DF60C4" w:rsidRPr="00BE4144">
        <w:rPr>
          <w:rFonts w:cs="Times New Roman"/>
        </w:rPr>
        <w:t xml:space="preserve"> </w:t>
      </w:r>
      <w:r w:rsidRPr="00BE4144">
        <w:rPr>
          <w:rFonts w:cs="Times New Roman"/>
          <w:color w:val="000000"/>
        </w:rPr>
        <w:t xml:space="preserve">For our purposes, we </w:t>
      </w:r>
      <w:r w:rsidR="0013173D" w:rsidRPr="00BE4144">
        <w:rPr>
          <w:rFonts w:cs="Times New Roman"/>
          <w:color w:val="000000"/>
        </w:rPr>
        <w:t>primarily focus</w:t>
      </w:r>
      <w:r w:rsidRPr="00BE4144">
        <w:rPr>
          <w:rFonts w:cs="Times New Roman"/>
          <w:color w:val="000000"/>
        </w:rPr>
        <w:t xml:space="preserve"> on pure self-regulation, although relatively light-handed meta-regulation may be similar enough in operation that it should be treated as tantamount to self-regulation. </w:t>
      </w:r>
    </w:p>
  </w:footnote>
  <w:footnote w:id="16">
    <w:p w14:paraId="511A3A01" w14:textId="2E74B15D" w:rsidR="00062A8D" w:rsidRPr="00BE4144" w:rsidRDefault="00062A8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96D39" w:rsidRPr="00BE4144">
        <w:rPr>
          <w:rFonts w:cs="Times New Roman"/>
        </w:rPr>
        <w:t xml:space="preserve">Am. Natl. </w:t>
      </w:r>
      <w:proofErr w:type="spellStart"/>
      <w:r w:rsidR="00F96D39" w:rsidRPr="00BE4144">
        <w:rPr>
          <w:rFonts w:cs="Times New Roman"/>
        </w:rPr>
        <w:t>Stds</w:t>
      </w:r>
      <w:proofErr w:type="spellEnd"/>
      <w:r w:rsidR="00F96D39" w:rsidRPr="00BE4144">
        <w:rPr>
          <w:rFonts w:cs="Times New Roman"/>
        </w:rPr>
        <w:t xml:space="preserve">. Inst., https://ansi.org/; </w:t>
      </w:r>
      <w:r w:rsidR="00360DCD" w:rsidRPr="00BE4144">
        <w:rPr>
          <w:rFonts w:cs="Times New Roman"/>
        </w:rPr>
        <w:t xml:space="preserve">ASTM Intl., </w:t>
      </w:r>
      <w:r w:rsidR="009A4171" w:rsidRPr="00BE4144">
        <w:rPr>
          <w:rFonts w:cs="Times New Roman"/>
        </w:rPr>
        <w:t xml:space="preserve">https://www.astm.org/; Am. </w:t>
      </w:r>
      <w:proofErr w:type="spellStart"/>
      <w:r w:rsidR="009A4171" w:rsidRPr="00BE4144">
        <w:rPr>
          <w:rFonts w:cs="Times New Roman"/>
        </w:rPr>
        <w:t>Socy</w:t>
      </w:r>
      <w:proofErr w:type="spellEnd"/>
      <w:r w:rsidR="009A4171" w:rsidRPr="00BE4144">
        <w:rPr>
          <w:rFonts w:cs="Times New Roman"/>
        </w:rPr>
        <w:t xml:space="preserve">. </w:t>
      </w:r>
      <w:r w:rsidR="00DD158D" w:rsidRPr="00BE4144">
        <w:rPr>
          <w:rFonts w:cs="Times New Roman"/>
        </w:rPr>
        <w:t>O</w:t>
      </w:r>
      <w:r w:rsidR="009A4171" w:rsidRPr="00BE4144">
        <w:rPr>
          <w:rFonts w:cs="Times New Roman"/>
        </w:rPr>
        <w:t>f Mechanical Engineers</w:t>
      </w:r>
      <w:r w:rsidR="008135EA" w:rsidRPr="00BE4144">
        <w:rPr>
          <w:rFonts w:cs="Times New Roman"/>
        </w:rPr>
        <w:t xml:space="preserve">, </w:t>
      </w:r>
      <w:hyperlink r:id="rId1" w:history="1">
        <w:r w:rsidR="00DD158D" w:rsidRPr="00DD1357">
          <w:rPr>
            <w:rStyle w:val="Hyperlink"/>
            <w:rFonts w:cs="Times New Roman"/>
          </w:rPr>
          <w:t>https://www.asme.org</w:t>
        </w:r>
      </w:hyperlink>
      <w:r w:rsidR="008135EA" w:rsidRPr="00BE4144">
        <w:rPr>
          <w:rFonts w:cs="Times New Roman"/>
        </w:rPr>
        <w:t>.</w:t>
      </w:r>
    </w:p>
  </w:footnote>
  <w:footnote w:id="17">
    <w:p w14:paraId="6F603BA3" w14:textId="280BECFE" w:rsidR="0013173D" w:rsidRPr="00BE4144" w:rsidRDefault="0013173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A0C2E" w:rsidRPr="00403D85">
        <w:rPr>
          <w:rFonts w:eastAsia="Times New Roman" w:cs="Times New Roman"/>
          <w:smallCaps/>
          <w:color w:val="000000"/>
        </w:rPr>
        <w:t>JoAnne Yates &amp; Craig N. Murphy, Engineering Rules: Global Standard Setting since 1880</w:t>
      </w:r>
      <w:r w:rsidR="000A0C2E">
        <w:rPr>
          <w:rFonts w:eastAsia="Times New Roman" w:cs="Times New Roman"/>
          <w:color w:val="000000"/>
        </w:rPr>
        <w:t xml:space="preserve"> (2019).</w:t>
      </w:r>
    </w:p>
  </w:footnote>
  <w:footnote w:id="18">
    <w:p w14:paraId="45692897" w14:textId="6713DAAE" w:rsidR="00EB1605" w:rsidRPr="00403D85" w:rsidRDefault="00EB1605">
      <w:pPr>
        <w:pStyle w:val="FootnoteText"/>
        <w:rPr>
          <w:i/>
          <w:iCs/>
        </w:rPr>
      </w:pPr>
      <w:r>
        <w:rPr>
          <w:rStyle w:val="FootnoteReference"/>
        </w:rPr>
        <w:footnoteRef/>
      </w:r>
      <w:r>
        <w:t xml:space="preserve"> Hammond, </w:t>
      </w:r>
      <w:r>
        <w:rPr>
          <w:i/>
          <w:iCs/>
        </w:rPr>
        <w:t xml:space="preserve">supra </w:t>
      </w:r>
      <w:r>
        <w:t xml:space="preserve">note 18; </w:t>
      </w:r>
      <w:r>
        <w:rPr>
          <w:rFonts w:eastAsia="Times New Roman" w:cs="Times New Roman"/>
          <w:color w:val="000000"/>
        </w:rPr>
        <w:t xml:space="preserve">Saule T. Omarova, </w:t>
      </w:r>
      <w:r w:rsidRPr="00182A6D">
        <w:rPr>
          <w:rFonts w:eastAsia="Times New Roman" w:cs="Times New Roman"/>
          <w:i/>
          <w:iCs/>
          <w:color w:val="222222"/>
          <w:szCs w:val="24"/>
          <w:shd w:val="clear" w:color="auto" w:fill="FFFFFF"/>
        </w:rPr>
        <w:t>Wall Street as Community of Fate: Toward Financial Industry Self-Regulation</w:t>
      </w:r>
      <w:r>
        <w:rPr>
          <w:rFonts w:eastAsia="Times New Roman" w:cs="Times New Roman"/>
          <w:color w:val="222222"/>
          <w:szCs w:val="24"/>
          <w:shd w:val="clear" w:color="auto" w:fill="FFFFFF"/>
        </w:rPr>
        <w:t xml:space="preserve">, 159 </w:t>
      </w:r>
      <w:r w:rsidRPr="00182A6D">
        <w:rPr>
          <w:rFonts w:eastAsia="Times New Roman" w:cs="Times New Roman"/>
          <w:smallCaps/>
          <w:color w:val="222222"/>
          <w:szCs w:val="24"/>
          <w:shd w:val="clear" w:color="auto" w:fill="FFFFFF"/>
        </w:rPr>
        <w:t>U. Pa. L. Rev.</w:t>
      </w:r>
      <w:r>
        <w:rPr>
          <w:rFonts w:eastAsia="Times New Roman" w:cs="Times New Roman"/>
          <w:color w:val="222222"/>
          <w:szCs w:val="24"/>
          <w:shd w:val="clear" w:color="auto" w:fill="FFFFFF"/>
        </w:rPr>
        <w:t xml:space="preserve"> 411 (2011).</w:t>
      </w:r>
    </w:p>
  </w:footnote>
  <w:footnote w:id="19">
    <w:p w14:paraId="357F8992" w14:textId="6C8F8464" w:rsidR="0013173D" w:rsidRPr="00BE4144" w:rsidRDefault="0013173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A0C2E" w:rsidRPr="00403D85">
        <w:rPr>
          <w:rFonts w:eastAsia="Times New Roman" w:cs="Times New Roman"/>
          <w:smallCaps/>
          <w:color w:val="000000"/>
        </w:rPr>
        <w:t>ASTM International, Cannabis Standards and Services</w:t>
      </w:r>
      <w:r w:rsidR="000A0C2E">
        <w:rPr>
          <w:rFonts w:eastAsia="Times New Roman" w:cs="Times New Roman"/>
          <w:color w:val="000000"/>
        </w:rPr>
        <w:t xml:space="preserve"> (2022), </w:t>
      </w:r>
      <w:hyperlink r:id="rId2" w:history="1">
        <w:r w:rsidR="00DD158D" w:rsidRPr="00DD1357">
          <w:rPr>
            <w:rStyle w:val="Hyperlink"/>
            <w:rFonts w:eastAsia="Times New Roman" w:cs="Times New Roman"/>
            <w:szCs w:val="24"/>
          </w:rPr>
          <w:t>https://www.astmcannabis.org</w:t>
        </w:r>
      </w:hyperlink>
      <w:r w:rsidR="000A0C2E">
        <w:rPr>
          <w:rFonts w:eastAsia="Times New Roman" w:cs="Times New Roman"/>
          <w:color w:val="000000"/>
          <w:szCs w:val="24"/>
        </w:rPr>
        <w:t>.</w:t>
      </w:r>
    </w:p>
  </w:footnote>
  <w:footnote w:id="20">
    <w:p w14:paraId="69458C26" w14:textId="58D6F267" w:rsidR="00062A8D" w:rsidRPr="00BE4144" w:rsidRDefault="00062A8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A345A3" w:rsidRPr="00403D85">
        <w:rPr>
          <w:rFonts w:cs="Times New Roman"/>
          <w:smallCaps/>
        </w:rPr>
        <w:t xml:space="preserve">David P. </w:t>
      </w:r>
      <w:r w:rsidR="000A0C2E" w:rsidRPr="00403D85">
        <w:rPr>
          <w:rFonts w:eastAsia="Times New Roman" w:cs="Times New Roman"/>
          <w:smallCaps/>
          <w:color w:val="000000"/>
        </w:rPr>
        <w:t>McCaffrey</w:t>
      </w:r>
      <w:r w:rsidR="00A345A3" w:rsidRPr="00403D85">
        <w:rPr>
          <w:rFonts w:eastAsia="Times New Roman" w:cs="Times New Roman"/>
          <w:smallCaps/>
          <w:color w:val="000000"/>
        </w:rPr>
        <w:t xml:space="preserve"> &amp;</w:t>
      </w:r>
      <w:r w:rsidR="000A0C2E" w:rsidRPr="00403D85">
        <w:rPr>
          <w:rFonts w:eastAsia="Times New Roman" w:cs="Times New Roman"/>
          <w:smallCaps/>
          <w:color w:val="000000"/>
        </w:rPr>
        <w:t xml:space="preserve"> </w:t>
      </w:r>
      <w:r w:rsidR="00A345A3" w:rsidRPr="00403D85">
        <w:rPr>
          <w:rFonts w:eastAsia="Times New Roman" w:cs="Times New Roman"/>
          <w:smallCaps/>
          <w:color w:val="000000"/>
        </w:rPr>
        <w:t xml:space="preserve">David W. </w:t>
      </w:r>
      <w:r w:rsidR="000A0C2E" w:rsidRPr="00403D85">
        <w:rPr>
          <w:rFonts w:eastAsia="Times New Roman" w:cs="Times New Roman"/>
          <w:smallCaps/>
          <w:color w:val="000000"/>
        </w:rPr>
        <w:t>Hart</w:t>
      </w:r>
      <w:r w:rsidR="00A345A3" w:rsidRPr="00403D85">
        <w:rPr>
          <w:rFonts w:eastAsia="Times New Roman" w:cs="Times New Roman"/>
          <w:smallCaps/>
          <w:color w:val="000000"/>
        </w:rPr>
        <w:t xml:space="preserve">, </w:t>
      </w:r>
      <w:r w:rsidR="000A0C2E" w:rsidRPr="00403D85">
        <w:rPr>
          <w:rFonts w:eastAsia="Times New Roman" w:cs="Times New Roman"/>
          <w:smallCaps/>
          <w:color w:val="000000"/>
        </w:rPr>
        <w:t>Wall Street Polices Itself: How Securities Firms Manage the Legal Hazards of Competitive Pressures</w:t>
      </w:r>
      <w:r w:rsidR="000A0C2E">
        <w:rPr>
          <w:rFonts w:eastAsia="Times New Roman" w:cs="Times New Roman"/>
          <w:color w:val="000000"/>
        </w:rPr>
        <w:t xml:space="preserve"> </w:t>
      </w:r>
      <w:r w:rsidR="000A0C2E" w:rsidRPr="000A0C2E">
        <w:rPr>
          <w:rFonts w:eastAsia="Times New Roman" w:cs="Times New Roman"/>
          <w:color w:val="000000"/>
        </w:rPr>
        <w:t>(1998)</w:t>
      </w:r>
      <w:r w:rsidR="00A345A3">
        <w:rPr>
          <w:rFonts w:eastAsia="Times New Roman" w:cs="Times New Roman"/>
          <w:color w:val="000000"/>
        </w:rPr>
        <w:t xml:space="preserve">; </w:t>
      </w:r>
      <w:r w:rsidR="000A0C2E" w:rsidRPr="000A0C2E">
        <w:rPr>
          <w:rFonts w:eastAsia="Times New Roman" w:cs="Times New Roman"/>
          <w:color w:val="000000"/>
        </w:rPr>
        <w:t> </w:t>
      </w:r>
      <w:r w:rsidR="000A0C2E" w:rsidRPr="00BE4144" w:rsidDel="000A0C2E">
        <w:rPr>
          <w:rFonts w:eastAsia="Times New Roman" w:cs="Times New Roman"/>
          <w:color w:val="000000"/>
        </w:rPr>
        <w:t xml:space="preserve"> </w:t>
      </w:r>
      <w:r w:rsidR="00A345A3">
        <w:rPr>
          <w:rFonts w:eastAsia="Times New Roman" w:cs="Times New Roman"/>
          <w:color w:val="000000"/>
        </w:rPr>
        <w:t xml:space="preserve"> Saule T. Omarova, </w:t>
      </w:r>
      <w:r w:rsidR="00A345A3" w:rsidRPr="00403D85">
        <w:rPr>
          <w:rFonts w:eastAsia="Times New Roman" w:cs="Times New Roman"/>
          <w:i/>
          <w:iCs/>
          <w:color w:val="222222"/>
          <w:szCs w:val="24"/>
          <w:shd w:val="clear" w:color="auto" w:fill="FFFFFF"/>
        </w:rPr>
        <w:t>Rethinking the Future of Self-Regulation in the Financial Industry</w:t>
      </w:r>
      <w:r w:rsidR="00A345A3">
        <w:rPr>
          <w:rFonts w:eastAsia="Times New Roman" w:cs="Times New Roman"/>
          <w:color w:val="222222"/>
          <w:szCs w:val="24"/>
          <w:shd w:val="clear" w:color="auto" w:fill="FFFFFF"/>
        </w:rPr>
        <w:t xml:space="preserve">, 35 </w:t>
      </w:r>
      <w:r w:rsidR="00A345A3" w:rsidRPr="00403D85">
        <w:rPr>
          <w:rFonts w:eastAsia="Times New Roman" w:cs="Times New Roman"/>
          <w:smallCaps/>
          <w:color w:val="222222"/>
          <w:szCs w:val="24"/>
          <w:shd w:val="clear" w:color="auto" w:fill="FFFFFF"/>
        </w:rPr>
        <w:t xml:space="preserve">Brook. J. Int’l L., </w:t>
      </w:r>
      <w:r w:rsidR="006F7B6D">
        <w:rPr>
          <w:rFonts w:eastAsia="Times New Roman" w:cs="Times New Roman"/>
          <w:color w:val="222222"/>
          <w:szCs w:val="24"/>
          <w:shd w:val="clear" w:color="auto" w:fill="FFFFFF"/>
        </w:rPr>
        <w:t>n</w:t>
      </w:r>
      <w:r w:rsidR="00A345A3" w:rsidRPr="006F7B6D">
        <w:rPr>
          <w:rFonts w:eastAsia="Times New Roman" w:cs="Times New Roman"/>
          <w:color w:val="222222"/>
          <w:szCs w:val="24"/>
          <w:shd w:val="clear" w:color="auto" w:fill="FFFFFF"/>
        </w:rPr>
        <w:t>o.</w:t>
      </w:r>
      <w:r w:rsidR="00A345A3">
        <w:rPr>
          <w:rFonts w:eastAsia="Times New Roman" w:cs="Times New Roman"/>
          <w:color w:val="222222"/>
          <w:szCs w:val="24"/>
          <w:shd w:val="clear" w:color="auto" w:fill="FFFFFF"/>
        </w:rPr>
        <w:t xml:space="preserve"> 3, 2010, at 665.</w:t>
      </w:r>
    </w:p>
  </w:footnote>
  <w:footnote w:id="21">
    <w:p w14:paraId="617ABC38" w14:textId="491E3FD8" w:rsidR="00062A8D" w:rsidRPr="006F7B6D" w:rsidRDefault="00062A8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w:t>
      </w:r>
      <w:r w:rsidR="006F7B6D">
        <w:rPr>
          <w:rFonts w:eastAsia="Times New Roman" w:cs="Times New Roman"/>
          <w:color w:val="000000"/>
        </w:rPr>
        <w:t xml:space="preserve">Benjamin P. Edwards, </w:t>
      </w:r>
      <w:r w:rsidR="006F7B6D" w:rsidRPr="00403D85">
        <w:rPr>
          <w:rFonts w:eastAsia="Times New Roman" w:cs="Times New Roman"/>
          <w:i/>
          <w:iCs/>
          <w:color w:val="222222"/>
          <w:szCs w:val="24"/>
          <w:shd w:val="clear" w:color="auto" w:fill="FFFFFF"/>
        </w:rPr>
        <w:t>The Dark Side of Self-Regulation</w:t>
      </w:r>
      <w:r w:rsidR="006F7B6D">
        <w:rPr>
          <w:rFonts w:eastAsia="Times New Roman" w:cs="Times New Roman"/>
          <w:color w:val="222222"/>
          <w:szCs w:val="24"/>
          <w:shd w:val="clear" w:color="auto" w:fill="FFFFFF"/>
        </w:rPr>
        <w:t xml:space="preserve">, </w:t>
      </w:r>
      <w:r w:rsidR="006F7B6D" w:rsidRPr="006F7B6D">
        <w:rPr>
          <w:rFonts w:eastAsia="Times New Roman" w:cs="Times New Roman"/>
          <w:color w:val="222222"/>
          <w:szCs w:val="24"/>
          <w:shd w:val="clear" w:color="auto" w:fill="FFFFFF"/>
        </w:rPr>
        <w:t xml:space="preserve">85 </w:t>
      </w:r>
      <w:r w:rsidR="006F7B6D" w:rsidRPr="00403D85">
        <w:rPr>
          <w:rFonts w:eastAsia="Times New Roman" w:cs="Times New Roman"/>
          <w:smallCaps/>
          <w:color w:val="222222"/>
          <w:szCs w:val="24"/>
          <w:shd w:val="clear" w:color="auto" w:fill="FFFFFF"/>
        </w:rPr>
        <w:t xml:space="preserve">U. Cin. L. Rev. </w:t>
      </w:r>
      <w:r w:rsidR="006F7B6D" w:rsidRPr="006F7B6D">
        <w:rPr>
          <w:rFonts w:eastAsia="Times New Roman" w:cs="Times New Roman"/>
          <w:color w:val="222222"/>
          <w:szCs w:val="24"/>
          <w:shd w:val="clear" w:color="auto" w:fill="FFFFFF"/>
        </w:rPr>
        <w:t>573 (2017)</w:t>
      </w:r>
      <w:r w:rsidR="006F7B6D">
        <w:rPr>
          <w:rFonts w:eastAsia="Times New Roman" w:cs="Times New Roman"/>
          <w:color w:val="222222"/>
          <w:szCs w:val="24"/>
          <w:shd w:val="clear" w:color="auto" w:fill="FFFFFF"/>
        </w:rPr>
        <w:t xml:space="preserve">; </w:t>
      </w:r>
      <w:r w:rsidR="006F7B6D">
        <w:rPr>
          <w:rFonts w:eastAsia="Times New Roman" w:cs="Times New Roman"/>
          <w:color w:val="000000"/>
        </w:rPr>
        <w:t xml:space="preserve">Saule T. Omarova, </w:t>
      </w:r>
      <w:r w:rsidR="006F7B6D" w:rsidRPr="00403D85">
        <w:rPr>
          <w:rFonts w:eastAsia="Times New Roman" w:cs="Times New Roman"/>
          <w:i/>
          <w:iCs/>
          <w:color w:val="222222"/>
          <w:szCs w:val="24"/>
          <w:shd w:val="clear" w:color="auto" w:fill="FFFFFF"/>
        </w:rPr>
        <w:t>Wall Street as Community of Fate: Toward Financial Industry Self-Regulation</w:t>
      </w:r>
      <w:r w:rsidR="006F7B6D">
        <w:rPr>
          <w:rFonts w:eastAsia="Times New Roman" w:cs="Times New Roman"/>
          <w:color w:val="222222"/>
          <w:szCs w:val="24"/>
          <w:shd w:val="clear" w:color="auto" w:fill="FFFFFF"/>
        </w:rPr>
        <w:t xml:space="preserve">, 159 </w:t>
      </w:r>
      <w:r w:rsidR="006F7B6D" w:rsidRPr="00403D85">
        <w:rPr>
          <w:rFonts w:eastAsia="Times New Roman" w:cs="Times New Roman"/>
          <w:smallCaps/>
          <w:color w:val="222222"/>
          <w:szCs w:val="24"/>
          <w:shd w:val="clear" w:color="auto" w:fill="FFFFFF"/>
        </w:rPr>
        <w:t>U. Pa. L. Rev.</w:t>
      </w:r>
      <w:r w:rsidR="006F7B6D">
        <w:rPr>
          <w:rFonts w:eastAsia="Times New Roman" w:cs="Times New Roman"/>
          <w:color w:val="222222"/>
          <w:szCs w:val="24"/>
          <w:shd w:val="clear" w:color="auto" w:fill="FFFFFF"/>
        </w:rPr>
        <w:t xml:space="preserve"> 411 (2011).</w:t>
      </w:r>
      <w:r w:rsidR="003F08D7">
        <w:rPr>
          <w:rFonts w:eastAsia="Times New Roman" w:cs="Times New Roman"/>
          <w:color w:val="222222"/>
          <w:szCs w:val="24"/>
          <w:shd w:val="clear" w:color="auto" w:fill="FFFFFF"/>
        </w:rPr>
        <w:t xml:space="preserve"> </w:t>
      </w:r>
    </w:p>
  </w:footnote>
  <w:footnote w:id="22">
    <w:p w14:paraId="6612AEB7" w14:textId="0B690B93" w:rsidR="00062A8D" w:rsidRPr="00BE4144" w:rsidRDefault="00062A8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3F08D7">
        <w:rPr>
          <w:rFonts w:cs="Times New Roman"/>
        </w:rPr>
        <w:t xml:space="preserve">Mattias Lehmann, </w:t>
      </w:r>
      <w:r w:rsidR="003F08D7" w:rsidRPr="00403D85">
        <w:rPr>
          <w:rFonts w:eastAsia="Times New Roman" w:cs="Times New Roman"/>
          <w:i/>
          <w:iCs/>
          <w:color w:val="222222"/>
          <w:szCs w:val="24"/>
          <w:shd w:val="clear" w:color="auto" w:fill="FFFFFF"/>
        </w:rPr>
        <w:t xml:space="preserve">Global Rules for a Global </w:t>
      </w:r>
      <w:proofErr w:type="gramStart"/>
      <w:r w:rsidR="003F08D7" w:rsidRPr="00403D85">
        <w:rPr>
          <w:rFonts w:eastAsia="Times New Roman" w:cs="Times New Roman"/>
          <w:i/>
          <w:iCs/>
          <w:color w:val="222222"/>
          <w:szCs w:val="24"/>
          <w:shd w:val="clear" w:color="auto" w:fill="FFFFFF"/>
        </w:rPr>
        <w:t>Market Place</w:t>
      </w:r>
      <w:proofErr w:type="gramEnd"/>
      <w:r w:rsidR="003F08D7" w:rsidRPr="00403D85">
        <w:rPr>
          <w:rFonts w:eastAsia="Times New Roman" w:cs="Times New Roman"/>
          <w:i/>
          <w:iCs/>
          <w:color w:val="222222"/>
          <w:szCs w:val="24"/>
          <w:shd w:val="clear" w:color="auto" w:fill="FFFFFF"/>
        </w:rPr>
        <w:t>? Regulation and Supervision of Fintech Providers</w:t>
      </w:r>
      <w:r w:rsidR="003F08D7">
        <w:rPr>
          <w:rFonts w:eastAsia="Times New Roman" w:cs="Times New Roman"/>
          <w:color w:val="000000"/>
        </w:rPr>
        <w:t xml:space="preserve">, 38 </w:t>
      </w:r>
      <w:r w:rsidR="003F08D7" w:rsidRPr="00403D85">
        <w:rPr>
          <w:rFonts w:eastAsia="Times New Roman" w:cs="Times New Roman"/>
          <w:smallCaps/>
          <w:color w:val="000000"/>
        </w:rPr>
        <w:t>B.U. Int’l L. J.</w:t>
      </w:r>
      <w:r w:rsidR="003F08D7">
        <w:rPr>
          <w:rFonts w:eastAsia="Times New Roman" w:cs="Times New Roman"/>
          <w:color w:val="000000"/>
        </w:rPr>
        <w:t xml:space="preserve"> 118, 132 (2020); </w:t>
      </w:r>
      <w:r w:rsidR="003F08D7" w:rsidRPr="00403D85">
        <w:rPr>
          <w:rFonts w:eastAsia="Times New Roman" w:cs="Times New Roman"/>
          <w:smallCaps/>
          <w:color w:val="000000"/>
        </w:rPr>
        <w:t xml:space="preserve">Columbia Engineering, </w:t>
      </w:r>
      <w:r w:rsidR="001813C5" w:rsidRPr="00403D85">
        <w:rPr>
          <w:rFonts w:eastAsia="Times New Roman" w:cs="Times New Roman"/>
          <w:smallCaps/>
          <w:color w:val="000000"/>
        </w:rPr>
        <w:t>What is Financial Technology (FinTech)? A Beginner’s Guide</w:t>
      </w:r>
      <w:r w:rsidR="001813C5" w:rsidRPr="00BE4144">
        <w:rPr>
          <w:rFonts w:eastAsia="Times New Roman" w:cs="Times New Roman"/>
          <w:color w:val="000000"/>
        </w:rPr>
        <w:t>https://bootcamp.cvn.columbia.edu/blog/what-is-fintech/.</w:t>
      </w:r>
    </w:p>
  </w:footnote>
  <w:footnote w:id="23">
    <w:p w14:paraId="23EE023A" w14:textId="79C37D2F" w:rsidR="00062A8D" w:rsidRPr="00BE4144" w:rsidRDefault="00062A8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(ASTM International 2022a; Adler 2020).</w:t>
      </w:r>
      <w:r w:rsidR="003F08D7">
        <w:rPr>
          <w:rFonts w:eastAsia="Times New Roman" w:cs="Times New Roman"/>
          <w:color w:val="000000"/>
        </w:rPr>
        <w:t xml:space="preserve"> </w:t>
      </w:r>
      <w:r w:rsidR="003F08D7" w:rsidRPr="00403D85">
        <w:rPr>
          <w:rFonts w:eastAsia="Times New Roman" w:cs="Times New Roman"/>
          <w:smallCaps/>
          <w:color w:val="000000"/>
        </w:rPr>
        <w:t>ASTM International, Cannabis Standards and Services</w:t>
      </w:r>
      <w:r w:rsidR="003F08D7">
        <w:rPr>
          <w:rFonts w:eastAsia="Times New Roman" w:cs="Times New Roman"/>
          <w:color w:val="000000"/>
        </w:rPr>
        <w:t xml:space="preserve">, </w:t>
      </w:r>
      <w:hyperlink r:id="rId3" w:history="1">
        <w:r w:rsidR="003F08D7" w:rsidRPr="00DD1357">
          <w:rPr>
            <w:rStyle w:val="Hyperlink"/>
            <w:rFonts w:eastAsia="Times New Roman" w:cs="Times New Roman"/>
          </w:rPr>
          <w:t>https://www.astmcannabis.org/</w:t>
        </w:r>
      </w:hyperlink>
      <w:r w:rsidR="003F08D7">
        <w:rPr>
          <w:rFonts w:eastAsia="Times New Roman" w:cs="Times New Roman"/>
          <w:color w:val="000000"/>
        </w:rPr>
        <w:t xml:space="preserve">; </w:t>
      </w:r>
      <w:r w:rsidR="003F08D7" w:rsidRPr="00403D85">
        <w:rPr>
          <w:rFonts w:eastAsia="Times New Roman" w:cs="Times New Roman"/>
          <w:smallCaps/>
          <w:color w:val="000000"/>
        </w:rPr>
        <w:t xml:space="preserve">Jonathan H. Adler, </w:t>
      </w:r>
      <w:r w:rsidR="003F08D7" w:rsidRPr="00403D85">
        <w:rPr>
          <w:rFonts w:eastAsia="Times New Roman" w:cs="Times New Roman"/>
          <w:smallCaps/>
          <w:color w:val="000000"/>
          <w:szCs w:val="24"/>
        </w:rPr>
        <w:t>Marijuana Federalism: Uncle Sam and Mary Jane</w:t>
      </w:r>
      <w:r w:rsidR="003F08D7">
        <w:rPr>
          <w:rFonts w:eastAsia="Times New Roman" w:cs="Times New Roman"/>
          <w:color w:val="000000"/>
          <w:szCs w:val="24"/>
        </w:rPr>
        <w:t xml:space="preserve"> (2020).</w:t>
      </w:r>
    </w:p>
  </w:footnote>
  <w:footnote w:id="24">
    <w:p w14:paraId="54C0E49E" w14:textId="34769D3B" w:rsidR="00182E60" w:rsidRPr="00BE4144" w:rsidRDefault="00182E60"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See, e.g.</w:t>
      </w:r>
      <w:r w:rsidRPr="00BE4144">
        <w:rPr>
          <w:rFonts w:cs="Times New Roman"/>
        </w:rPr>
        <w:t xml:space="preserve">, </w:t>
      </w:r>
      <w:r w:rsidR="002E5860" w:rsidRPr="00BE4144">
        <w:rPr>
          <w:rFonts w:cs="Times New Roman"/>
        </w:rPr>
        <w:t xml:space="preserve">Uniform Construction Code, Pa. Department of </w:t>
      </w:r>
      <w:proofErr w:type="gramStart"/>
      <w:r w:rsidR="002E5860" w:rsidRPr="00BE4144">
        <w:rPr>
          <w:rFonts w:cs="Times New Roman"/>
        </w:rPr>
        <w:t>Labor</w:t>
      </w:r>
      <w:proofErr w:type="gramEnd"/>
      <w:r w:rsidR="002E5860" w:rsidRPr="00BE4144">
        <w:rPr>
          <w:rFonts w:cs="Times New Roman"/>
        </w:rPr>
        <w:t xml:space="preserve"> and Industry https://www.dli.pa.gov/ucc/Pages/default.aspx </w:t>
      </w:r>
      <w:r w:rsidRPr="00BE4144">
        <w:rPr>
          <w:rFonts w:cs="Times New Roman"/>
        </w:rPr>
        <w:t xml:space="preserve">(describing how Pennsylvania’s Uniform Construction Code, which includes building, electrical, and fire standards, </w:t>
      </w:r>
      <w:r w:rsidR="00C13CED" w:rsidRPr="00BE4144">
        <w:rPr>
          <w:rFonts w:cs="Times New Roman"/>
        </w:rPr>
        <w:t>incorporates “various codes issued by the ICC</w:t>
      </w:r>
      <w:r w:rsidR="00265502" w:rsidRPr="00BE4144">
        <w:rPr>
          <w:rFonts w:cs="Times New Roman"/>
        </w:rPr>
        <w:t>”).  The ICC</w:t>
      </w:r>
      <w:r w:rsidR="00C13CED" w:rsidRPr="00BE4144">
        <w:rPr>
          <w:rFonts w:cs="Times New Roman"/>
        </w:rPr>
        <w:t xml:space="preserve"> is the </w:t>
      </w:r>
      <w:r w:rsidR="006D5B56" w:rsidRPr="00BE4144">
        <w:rPr>
          <w:rFonts w:cs="Times New Roman"/>
        </w:rPr>
        <w:t>International Code Counci</w:t>
      </w:r>
      <w:r w:rsidR="00AB0A51" w:rsidRPr="00BE4144">
        <w:rPr>
          <w:rFonts w:cs="Times New Roman"/>
        </w:rPr>
        <w:t xml:space="preserve">l, the “the largest international association of building safety professionals.” </w:t>
      </w:r>
      <w:r w:rsidR="002E5860" w:rsidRPr="00BE4144">
        <w:rPr>
          <w:rFonts w:cs="Times New Roman"/>
        </w:rPr>
        <w:t xml:space="preserve">Who We Are, International Code Council, </w:t>
      </w:r>
      <w:hyperlink r:id="rId4" w:history="1">
        <w:r w:rsidR="00DD158D" w:rsidRPr="00DD1357">
          <w:rPr>
            <w:rStyle w:val="Hyperlink"/>
            <w:rFonts w:cs="Times New Roman"/>
          </w:rPr>
          <w:t>https://www.iccsafe.org/about/who-we-are/</w:t>
        </w:r>
      </w:hyperlink>
      <w:r w:rsidR="002E5860" w:rsidRPr="00BE4144">
        <w:rPr>
          <w:rFonts w:cs="Times New Roman"/>
        </w:rPr>
        <w:t>.</w:t>
      </w:r>
    </w:p>
  </w:footnote>
  <w:footnote w:id="25">
    <w:p w14:paraId="1458D628" w14:textId="57EDC963" w:rsidR="00062A8D" w:rsidRPr="00D133FE" w:rsidRDefault="00062A8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404B03">
        <w:rPr>
          <w:rFonts w:eastAsia="Times New Roman" w:cs="Times New Roman"/>
          <w:color w:val="000000"/>
        </w:rPr>
        <w:t xml:space="preserve">Cary Coglianese &amp; Jennifer Nash, </w:t>
      </w:r>
      <w:r w:rsidR="00404B03">
        <w:rPr>
          <w:rFonts w:eastAsia="Times New Roman" w:cs="Times New Roman"/>
          <w:i/>
          <w:iCs/>
          <w:color w:val="000000"/>
        </w:rPr>
        <w:t>Motivating Without Mandates: The Role of Voluntary Programs in Environmental Governance</w:t>
      </w:r>
      <w:r w:rsidR="00D133FE">
        <w:rPr>
          <w:rFonts w:eastAsia="Times New Roman" w:cs="Times New Roman"/>
          <w:color w:val="000000"/>
        </w:rPr>
        <w:t xml:space="preserve"> in </w:t>
      </w:r>
      <w:r w:rsidR="00D133FE" w:rsidRPr="00403D85">
        <w:rPr>
          <w:rFonts w:eastAsia="Times New Roman" w:cs="Times New Roman"/>
          <w:smallCaps/>
          <w:color w:val="000000"/>
        </w:rPr>
        <w:t>Lee Paddock, Robert Glicksman, &amp; Nicholas S. Bryner eds., Decision Making in Environmental Law</w:t>
      </w:r>
      <w:r w:rsidR="00D133FE">
        <w:rPr>
          <w:rFonts w:eastAsia="Times New Roman" w:cs="Times New Roman"/>
          <w:smallCaps/>
          <w:color w:val="000000"/>
        </w:rPr>
        <w:t xml:space="preserve"> (2016)</w:t>
      </w:r>
    </w:p>
  </w:footnote>
  <w:footnote w:id="26">
    <w:p w14:paraId="4D8F0F43" w14:textId="20853AE7" w:rsidR="00062A8D" w:rsidRPr="00807F47" w:rsidRDefault="00062A8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D133FE">
        <w:rPr>
          <w:rFonts w:eastAsia="Times New Roman" w:cs="Times New Roman"/>
          <w:color w:val="000000"/>
        </w:rPr>
        <w:t>Cary C</w:t>
      </w:r>
      <w:r w:rsidR="00075911">
        <w:rPr>
          <w:rFonts w:eastAsia="Times New Roman" w:cs="Times New Roman"/>
          <w:color w:val="000000"/>
        </w:rPr>
        <w:t>o</w:t>
      </w:r>
      <w:r w:rsidR="00D133FE">
        <w:rPr>
          <w:rFonts w:eastAsia="Times New Roman" w:cs="Times New Roman"/>
          <w:color w:val="000000"/>
        </w:rPr>
        <w:t xml:space="preserve">glianese &amp; Evan Mendelson, </w:t>
      </w:r>
      <w:r w:rsidR="00075911">
        <w:rPr>
          <w:rFonts w:eastAsia="Times New Roman" w:cs="Times New Roman"/>
          <w:i/>
          <w:iCs/>
          <w:color w:val="000000"/>
        </w:rPr>
        <w:t xml:space="preserve">supra </w:t>
      </w:r>
      <w:r w:rsidR="00075911">
        <w:rPr>
          <w:rFonts w:eastAsia="Times New Roman" w:cs="Times New Roman"/>
          <w:color w:val="000000"/>
        </w:rPr>
        <w:t xml:space="preserve">note </w:t>
      </w:r>
      <w:r w:rsidR="00075911">
        <w:rPr>
          <w:rFonts w:eastAsia="Times New Roman" w:cs="Times New Roman"/>
          <w:color w:val="000000"/>
        </w:rPr>
        <w:fldChar w:fldCharType="begin"/>
      </w:r>
      <w:r w:rsidR="00075911">
        <w:rPr>
          <w:rFonts w:eastAsia="Times New Roman" w:cs="Times New Roman"/>
          <w:color w:val="000000"/>
        </w:rPr>
        <w:instrText xml:space="preserve"> NOTEREF _Ref142240148 \h </w:instrText>
      </w:r>
      <w:r w:rsidR="00075911">
        <w:rPr>
          <w:rFonts w:eastAsia="Times New Roman" w:cs="Times New Roman"/>
          <w:color w:val="000000"/>
        </w:rPr>
      </w:r>
      <w:r w:rsidR="00075911">
        <w:rPr>
          <w:rFonts w:eastAsia="Times New Roman" w:cs="Times New Roman"/>
          <w:color w:val="000000"/>
        </w:rPr>
        <w:fldChar w:fldCharType="separate"/>
      </w:r>
      <w:r w:rsidR="00075911">
        <w:rPr>
          <w:rFonts w:eastAsia="Times New Roman" w:cs="Times New Roman"/>
          <w:color w:val="000000"/>
        </w:rPr>
        <w:t>8</w:t>
      </w:r>
      <w:r w:rsidR="00075911">
        <w:rPr>
          <w:rFonts w:eastAsia="Times New Roman" w:cs="Times New Roman"/>
          <w:color w:val="000000"/>
        </w:rPr>
        <w:fldChar w:fldCharType="end"/>
      </w:r>
      <w:r w:rsidR="00807F47">
        <w:rPr>
          <w:rFonts w:eastAsia="Times New Roman" w:cs="Times New Roman"/>
          <w:color w:val="000000"/>
        </w:rPr>
        <w:t xml:space="preserve">; Andrew A. King &amp; Michael J. Lenox, </w:t>
      </w:r>
      <w:r w:rsidR="00807F47" w:rsidRPr="00403D85">
        <w:rPr>
          <w:rFonts w:eastAsia="Times New Roman" w:cs="Times New Roman"/>
          <w:i/>
          <w:iCs/>
          <w:color w:val="000000"/>
        </w:rPr>
        <w:t>Industry Self-Regulation without Sanctions: The Chemical Industry</w:t>
      </w:r>
      <w:r w:rsidR="00DD158D">
        <w:rPr>
          <w:rFonts w:eastAsia="Times New Roman" w:cs="Times New Roman"/>
          <w:i/>
          <w:iCs/>
          <w:color w:val="000000"/>
        </w:rPr>
        <w:t>’</w:t>
      </w:r>
      <w:r w:rsidR="00807F47" w:rsidRPr="00403D85">
        <w:rPr>
          <w:rFonts w:eastAsia="Times New Roman" w:cs="Times New Roman"/>
          <w:i/>
          <w:iCs/>
          <w:color w:val="000000"/>
        </w:rPr>
        <w:t>s Responsible Care Program</w:t>
      </w:r>
      <w:r w:rsidR="00807F47">
        <w:rPr>
          <w:rFonts w:eastAsia="Times New Roman" w:cs="Times New Roman"/>
          <w:color w:val="000000"/>
        </w:rPr>
        <w:t xml:space="preserve">, 43 </w:t>
      </w:r>
      <w:r w:rsidR="00807F47" w:rsidRPr="00403D85">
        <w:rPr>
          <w:rFonts w:eastAsia="Times New Roman" w:cs="Times New Roman"/>
          <w:smallCaps/>
          <w:color w:val="000000"/>
        </w:rPr>
        <w:t>Acad</w:t>
      </w:r>
      <w:r w:rsidR="00EF770A">
        <w:rPr>
          <w:rFonts w:eastAsia="Times New Roman" w:cs="Times New Roman"/>
          <w:smallCaps/>
          <w:color w:val="000000"/>
        </w:rPr>
        <w:t>.</w:t>
      </w:r>
      <w:r w:rsidR="00807F47" w:rsidRPr="00403D85">
        <w:rPr>
          <w:rFonts w:eastAsia="Times New Roman" w:cs="Times New Roman"/>
          <w:smallCaps/>
          <w:color w:val="000000"/>
        </w:rPr>
        <w:t xml:space="preserve"> of Mgmt. J.</w:t>
      </w:r>
      <w:r w:rsidR="00807F47">
        <w:rPr>
          <w:rFonts w:eastAsia="Times New Roman" w:cs="Times New Roman"/>
          <w:color w:val="000000"/>
        </w:rPr>
        <w:t xml:space="preserve"> 698 (2000).</w:t>
      </w:r>
    </w:p>
  </w:footnote>
  <w:footnote w:id="27">
    <w:p w14:paraId="734049D4" w14:textId="2FE0BBC6" w:rsidR="00062A8D" w:rsidRPr="00EB2CA9" w:rsidRDefault="00062A8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EB2CA9">
        <w:rPr>
          <w:rFonts w:eastAsia="Times New Roman" w:cs="Times New Roman"/>
          <w:color w:val="000000"/>
        </w:rPr>
        <w:t xml:space="preserve">Aseem Prakash &amp; Matthew Potoski, </w:t>
      </w:r>
      <w:r w:rsidR="00EB2CA9">
        <w:rPr>
          <w:rFonts w:eastAsia="Times New Roman" w:cs="Times New Roman"/>
          <w:i/>
          <w:iCs/>
          <w:color w:val="000000"/>
        </w:rPr>
        <w:t>Voluntary Environmental Programs: A Comparative Perspective</w:t>
      </w:r>
      <w:r w:rsidR="00EB2CA9">
        <w:rPr>
          <w:rFonts w:eastAsia="Times New Roman" w:cs="Times New Roman"/>
          <w:color w:val="000000"/>
        </w:rPr>
        <w:t xml:space="preserve">, 31 J. </w:t>
      </w:r>
      <w:proofErr w:type="spellStart"/>
      <w:r w:rsidR="00EB2CA9" w:rsidRPr="00403D85">
        <w:rPr>
          <w:rFonts w:eastAsia="Times New Roman" w:cs="Times New Roman"/>
          <w:smallCaps/>
          <w:color w:val="000000"/>
        </w:rPr>
        <w:t>Pol’y</w:t>
      </w:r>
      <w:proofErr w:type="spellEnd"/>
      <w:r w:rsidR="00EB2CA9" w:rsidRPr="00403D85">
        <w:rPr>
          <w:rFonts w:eastAsia="Times New Roman" w:cs="Times New Roman"/>
          <w:smallCaps/>
          <w:color w:val="000000"/>
        </w:rPr>
        <w:t xml:space="preserve"> Analysis and Mgmt.</w:t>
      </w:r>
      <w:r w:rsidR="00EB2CA9">
        <w:rPr>
          <w:rFonts w:eastAsia="Times New Roman" w:cs="Times New Roman"/>
          <w:color w:val="000000"/>
        </w:rPr>
        <w:t xml:space="preserve"> 123, 128–29 (2011).</w:t>
      </w:r>
    </w:p>
  </w:footnote>
  <w:footnote w:id="28">
    <w:p w14:paraId="58768882" w14:textId="5ACB89EE" w:rsidR="00062A8D" w:rsidRPr="00BE4144" w:rsidRDefault="00062A8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(Vandenbergh &amp; Gilligan 2017).  </w:t>
      </w:r>
      <w:r w:rsidR="00EB2CA9" w:rsidRPr="00403D85">
        <w:rPr>
          <w:rFonts w:eastAsia="Times New Roman" w:cs="Times New Roman"/>
          <w:smallCaps/>
          <w:color w:val="000000"/>
        </w:rPr>
        <w:t>Michael  P. Vandenbergh &amp; Jonathan M. Gilligan, Beyond Politics: The Private Governance Response to Climate Change</w:t>
      </w:r>
      <w:r w:rsidR="00EB2CA9">
        <w:rPr>
          <w:rFonts w:eastAsia="Times New Roman" w:cs="Times New Roman"/>
          <w:color w:val="000000"/>
        </w:rPr>
        <w:t xml:space="preserve"> (2017).</w:t>
      </w:r>
    </w:p>
  </w:footnote>
  <w:footnote w:id="29">
    <w:p w14:paraId="59EB9D05" w14:textId="5B905FF0" w:rsidR="00B6689C" w:rsidRPr="00EB2CA9" w:rsidRDefault="00B6689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EB2CA9">
        <w:rPr>
          <w:rFonts w:eastAsia="Times New Roman" w:cs="Times New Roman"/>
          <w:color w:val="000000"/>
        </w:rPr>
        <w:t xml:space="preserve">Douglas C. Michael, </w:t>
      </w:r>
      <w:r w:rsidR="00EB2CA9" w:rsidRPr="00403D85">
        <w:rPr>
          <w:rFonts w:eastAsia="Times New Roman" w:cs="Times New Roman"/>
          <w:i/>
          <w:iCs/>
          <w:color w:val="000000"/>
        </w:rPr>
        <w:t>Federal Agency Use of Self-Audited Regulators as a Regulatory Technique</w:t>
      </w:r>
      <w:r w:rsidR="00EB2CA9">
        <w:rPr>
          <w:rFonts w:eastAsia="Times New Roman" w:cs="Times New Roman"/>
          <w:color w:val="000000"/>
        </w:rPr>
        <w:t xml:space="preserve">, 47 </w:t>
      </w:r>
      <w:r w:rsidR="00EB2CA9" w:rsidRPr="00403D85">
        <w:rPr>
          <w:rFonts w:eastAsia="Times New Roman" w:cs="Times New Roman"/>
          <w:smallCaps/>
          <w:color w:val="000000"/>
        </w:rPr>
        <w:t>Admin. L. Rev. 171 (</w:t>
      </w:r>
      <w:r w:rsidR="00EB2CA9">
        <w:rPr>
          <w:rFonts w:eastAsia="Times New Roman" w:cs="Times New Roman"/>
          <w:color w:val="000000"/>
        </w:rPr>
        <w:t>1995).</w:t>
      </w:r>
    </w:p>
  </w:footnote>
  <w:footnote w:id="30">
    <w:p w14:paraId="2456527E" w14:textId="60B95314" w:rsidR="00B6689C" w:rsidRPr="00BE4144" w:rsidRDefault="00B6689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Coglianese &amp; Mendelso</w:t>
      </w:r>
      <w:r w:rsidR="00075911">
        <w:rPr>
          <w:rFonts w:eastAsia="Times New Roman" w:cs="Times New Roman"/>
          <w:color w:val="000000"/>
        </w:rPr>
        <w:t>n</w:t>
      </w:r>
      <w:r w:rsidRPr="00BE4144">
        <w:rPr>
          <w:rFonts w:eastAsia="Times New Roman" w:cs="Times New Roman"/>
          <w:color w:val="000000"/>
        </w:rPr>
        <w:t>,</w:t>
      </w:r>
      <w:r w:rsidR="00075911">
        <w:rPr>
          <w:rFonts w:eastAsia="Times New Roman" w:cs="Times New Roman"/>
          <w:color w:val="000000"/>
        </w:rPr>
        <w:t xml:space="preserve"> </w:t>
      </w:r>
      <w:r w:rsidR="00075911" w:rsidRPr="00BE4144">
        <w:rPr>
          <w:rFonts w:cs="Times New Roman"/>
          <w:i/>
          <w:iCs/>
        </w:rPr>
        <w:t xml:space="preserve">supra </w:t>
      </w:r>
      <w:r w:rsidR="00075911" w:rsidRPr="00BE4144">
        <w:rPr>
          <w:rFonts w:cs="Times New Roman"/>
        </w:rPr>
        <w:t xml:space="preserve">note </w:t>
      </w:r>
      <w:r w:rsidR="00075911">
        <w:rPr>
          <w:rFonts w:cs="Times New Roman"/>
        </w:rPr>
        <w:fldChar w:fldCharType="begin"/>
      </w:r>
      <w:r w:rsidR="00075911">
        <w:rPr>
          <w:rFonts w:cs="Times New Roman"/>
        </w:rPr>
        <w:instrText xml:space="preserve"> NOTEREF _Ref142240148 \h </w:instrText>
      </w:r>
      <w:r w:rsidR="00075911">
        <w:rPr>
          <w:rFonts w:cs="Times New Roman"/>
        </w:rPr>
      </w:r>
      <w:r w:rsidR="00075911">
        <w:rPr>
          <w:rFonts w:cs="Times New Roman"/>
        </w:rPr>
        <w:fldChar w:fldCharType="separate"/>
      </w:r>
      <w:r w:rsidR="00075911">
        <w:rPr>
          <w:rFonts w:cs="Times New Roman"/>
        </w:rPr>
        <w:t>8</w:t>
      </w:r>
      <w:r w:rsidR="00075911">
        <w:rPr>
          <w:rFonts w:cs="Times New Roman"/>
        </w:rPr>
        <w:fldChar w:fldCharType="end"/>
      </w:r>
      <w:r w:rsidR="00075911">
        <w:rPr>
          <w:rFonts w:cs="Times New Roman"/>
        </w:rPr>
        <w:t>, at</w:t>
      </w:r>
      <w:r w:rsidRPr="00BE4144">
        <w:rPr>
          <w:rFonts w:eastAsia="Times New Roman" w:cs="Times New Roman"/>
          <w:color w:val="000000"/>
        </w:rPr>
        <w:t xml:space="preserve"> 14-16.</w:t>
      </w:r>
    </w:p>
  </w:footnote>
  <w:footnote w:id="31">
    <w:p w14:paraId="7CC2F2D2" w14:textId="71FACCA1" w:rsidR="00B6689C" w:rsidRPr="00BD4224" w:rsidRDefault="00B6689C" w:rsidP="00BE4144">
      <w:pPr>
        <w:pStyle w:val="FootnoteText"/>
        <w:jc w:val="both"/>
        <w:rPr>
          <w:rFonts w:cs="Times New Roman"/>
        </w:rPr>
      </w:pPr>
      <w:bookmarkStart w:id="15" w:name="_Ref142140735"/>
      <w:r w:rsidRPr="00BE4144">
        <w:rPr>
          <w:rStyle w:val="FootnoteReference"/>
          <w:rFonts w:cs="Times New Roman"/>
        </w:rPr>
        <w:footnoteRef/>
      </w:r>
      <w:r w:rsidRPr="00BE4144">
        <w:rPr>
          <w:rFonts w:cs="Times New Roman"/>
        </w:rPr>
        <w:t xml:space="preserve"> </w:t>
      </w:r>
      <w:r w:rsidR="008420A1" w:rsidRPr="00BE4144">
        <w:rPr>
          <w:rFonts w:eastAsia="Times New Roman" w:cs="Times New Roman"/>
          <w:color w:val="000000"/>
        </w:rPr>
        <w:t xml:space="preserve"> </w:t>
      </w:r>
      <w:r w:rsidR="00BD4224">
        <w:rPr>
          <w:rFonts w:eastAsia="Times New Roman" w:cs="Times New Roman"/>
          <w:color w:val="000000"/>
        </w:rPr>
        <w:t xml:space="preserve">Emily Hammond, </w:t>
      </w:r>
      <w:r w:rsidR="00BD4224" w:rsidRPr="00403D85">
        <w:rPr>
          <w:rFonts w:eastAsia="Times New Roman" w:cs="Times New Roman"/>
          <w:i/>
          <w:iCs/>
          <w:color w:val="222222"/>
          <w:szCs w:val="24"/>
          <w:shd w:val="clear" w:color="auto" w:fill="FFFFFF"/>
        </w:rPr>
        <w:t>Double Deference in Administrative Law</w:t>
      </w:r>
      <w:r w:rsidR="00BD4224">
        <w:rPr>
          <w:rFonts w:eastAsia="Times New Roman" w:cs="Times New Roman"/>
          <w:color w:val="222222"/>
          <w:szCs w:val="24"/>
          <w:shd w:val="clear" w:color="auto" w:fill="FFFFFF"/>
        </w:rPr>
        <w:t xml:space="preserve">, 116 </w:t>
      </w:r>
      <w:r w:rsidR="00BD4224" w:rsidRPr="00403D85">
        <w:rPr>
          <w:rFonts w:eastAsia="Times New Roman" w:cs="Times New Roman"/>
          <w:smallCaps/>
          <w:color w:val="222222"/>
          <w:szCs w:val="24"/>
          <w:shd w:val="clear" w:color="auto" w:fill="FFFFFF"/>
        </w:rPr>
        <w:t>Colum. L. Rev.</w:t>
      </w:r>
      <w:r w:rsidR="00BD4224">
        <w:rPr>
          <w:rFonts w:eastAsia="Times New Roman" w:cs="Times New Roman"/>
          <w:color w:val="222222"/>
          <w:szCs w:val="24"/>
          <w:shd w:val="clear" w:color="auto" w:fill="FFFFFF"/>
        </w:rPr>
        <w:t xml:space="preserve"> 1705 (2016); Alexandra Klass, Joshua Macey, Shelley Welton, &amp; Hannah Wiseman, Grid Reliability Through Clean Energy, 74 </w:t>
      </w:r>
      <w:r w:rsidR="00BD4224" w:rsidRPr="00403D85">
        <w:rPr>
          <w:rFonts w:eastAsia="Times New Roman" w:cs="Times New Roman"/>
          <w:smallCaps/>
          <w:color w:val="222222"/>
          <w:szCs w:val="24"/>
          <w:shd w:val="clear" w:color="auto" w:fill="FFFFFF"/>
        </w:rPr>
        <w:t>Stanford L. Rev</w:t>
      </w:r>
      <w:r w:rsidR="004D73A2">
        <w:rPr>
          <w:rFonts w:eastAsia="Times New Roman" w:cs="Times New Roman"/>
          <w:color w:val="222222"/>
          <w:szCs w:val="24"/>
          <w:shd w:val="clear" w:color="auto" w:fill="FFFFFF"/>
        </w:rPr>
        <w:t>.</w:t>
      </w:r>
      <w:r w:rsidR="00BD4224">
        <w:rPr>
          <w:rFonts w:eastAsia="Times New Roman" w:cs="Times New Roman"/>
          <w:color w:val="222222"/>
          <w:szCs w:val="24"/>
          <w:shd w:val="clear" w:color="auto" w:fill="FFFFFF"/>
        </w:rPr>
        <w:t xml:space="preserve"> 969 (2022)</w:t>
      </w:r>
      <w:bookmarkEnd w:id="15"/>
      <w:r w:rsidR="00403D85">
        <w:rPr>
          <w:rFonts w:eastAsia="Times New Roman" w:cs="Times New Roman"/>
          <w:color w:val="222222"/>
          <w:szCs w:val="24"/>
          <w:shd w:val="clear" w:color="auto" w:fill="FFFFFF"/>
        </w:rPr>
        <w:t>.</w:t>
      </w:r>
    </w:p>
  </w:footnote>
  <w:footnote w:id="32">
    <w:p w14:paraId="7FB11DA3" w14:textId="1BCC8E78" w:rsidR="008420A1" w:rsidRPr="00BE4144" w:rsidRDefault="008420A1"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Macey et al., </w:t>
      </w:r>
      <w:r w:rsidRPr="00BE4144">
        <w:rPr>
          <w:rFonts w:cs="Times New Roman"/>
          <w:i/>
          <w:iCs/>
        </w:rPr>
        <w:t xml:space="preserve">supra </w:t>
      </w:r>
      <w:r w:rsidRPr="00BE4144">
        <w:rPr>
          <w:rFonts w:cs="Times New Roman"/>
        </w:rPr>
        <w:t xml:space="preserve">note </w:t>
      </w:r>
      <w:r w:rsidR="00BD4224">
        <w:rPr>
          <w:rFonts w:cs="Times New Roman"/>
        </w:rPr>
        <w:fldChar w:fldCharType="begin"/>
      </w:r>
      <w:r w:rsidR="00BD4224">
        <w:rPr>
          <w:rFonts w:cs="Times New Roman"/>
        </w:rPr>
        <w:instrText xml:space="preserve"> NOTEREF _Ref142136999 \h </w:instrText>
      </w:r>
      <w:r w:rsidR="00BD4224">
        <w:rPr>
          <w:rFonts w:cs="Times New Roman"/>
        </w:rPr>
      </w:r>
      <w:r w:rsidR="00BD4224">
        <w:rPr>
          <w:rFonts w:cs="Times New Roman"/>
        </w:rPr>
        <w:fldChar w:fldCharType="separate"/>
      </w:r>
      <w:r w:rsidR="00BD4224">
        <w:rPr>
          <w:rFonts w:cs="Times New Roman"/>
        </w:rPr>
        <w:t>31</w:t>
      </w:r>
      <w:r w:rsidR="00BD4224">
        <w:rPr>
          <w:rFonts w:cs="Times New Roman"/>
        </w:rPr>
        <w:fldChar w:fldCharType="end"/>
      </w:r>
      <w:r w:rsidRPr="00BE4144">
        <w:rPr>
          <w:rFonts w:cs="Times New Roman"/>
        </w:rPr>
        <w:t xml:space="preserve">, at </w:t>
      </w:r>
      <w:r w:rsidR="00121021">
        <w:rPr>
          <w:rFonts w:cs="Times New Roman"/>
        </w:rPr>
        <w:fldChar w:fldCharType="begin"/>
      </w:r>
      <w:r w:rsidR="00121021">
        <w:rPr>
          <w:rFonts w:cs="Times New Roman"/>
        </w:rPr>
        <w:instrText xml:space="preserve"> PAGEREF _Ref142140735 \h </w:instrText>
      </w:r>
      <w:r w:rsidR="00121021">
        <w:rPr>
          <w:rFonts w:cs="Times New Roman"/>
        </w:rPr>
      </w:r>
      <w:r w:rsidR="00121021">
        <w:rPr>
          <w:rFonts w:cs="Times New Roman"/>
        </w:rPr>
        <w:fldChar w:fldCharType="separate"/>
      </w:r>
      <w:r w:rsidR="00121021">
        <w:rPr>
          <w:rFonts w:cs="Times New Roman"/>
          <w:noProof/>
        </w:rPr>
        <w:t>12</w:t>
      </w:r>
      <w:r w:rsidR="00121021">
        <w:rPr>
          <w:rFonts w:cs="Times New Roman"/>
        </w:rPr>
        <w:fldChar w:fldCharType="end"/>
      </w:r>
      <w:r w:rsidRPr="00BE4144">
        <w:rPr>
          <w:rFonts w:cs="Times New Roman"/>
        </w:rPr>
        <w:t xml:space="preserve">. </w:t>
      </w:r>
    </w:p>
  </w:footnote>
  <w:footnote w:id="33">
    <w:p w14:paraId="4ACBE53B" w14:textId="61AEBBE9" w:rsidR="00B6689C" w:rsidRPr="00BE4144" w:rsidRDefault="00B6689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4D73A2">
        <w:rPr>
          <w:rFonts w:eastAsia="Times New Roman" w:cs="Times New Roman"/>
          <w:color w:val="000000"/>
        </w:rPr>
        <w:t xml:space="preserve">Daniel E. Walters &amp; Andrew N. Kleit, </w:t>
      </w:r>
      <w:r w:rsidR="004D73A2">
        <w:rPr>
          <w:rFonts w:eastAsia="Times New Roman" w:cs="Times New Roman"/>
          <w:color w:val="222222"/>
          <w:szCs w:val="24"/>
          <w:shd w:val="clear" w:color="auto" w:fill="FFFFFF"/>
        </w:rPr>
        <w:t>Grid Governance in the Energy Trilemma Era: Remedying the Democracy Deficit</w:t>
      </w:r>
      <w:r w:rsidR="004D73A2">
        <w:rPr>
          <w:rFonts w:eastAsia="Times New Roman" w:cs="Times New Roman"/>
          <w:color w:val="000000"/>
        </w:rPr>
        <w:t xml:space="preserve">, __ </w:t>
      </w:r>
      <w:r w:rsidR="004D73A2" w:rsidRPr="00403D85">
        <w:rPr>
          <w:rFonts w:eastAsia="Times New Roman" w:cs="Times New Roman"/>
          <w:smallCaps/>
          <w:color w:val="000000"/>
        </w:rPr>
        <w:t>Ala. L. Rev</w:t>
      </w:r>
      <w:r w:rsidR="004D73A2">
        <w:rPr>
          <w:rFonts w:eastAsia="Times New Roman" w:cs="Times New Roman"/>
          <w:color w:val="000000"/>
        </w:rPr>
        <w:t xml:space="preserve">. __ (Forthcoming); Hari M. Osofsky &amp; Hannah J. Wiseman, </w:t>
      </w:r>
      <w:r w:rsidR="004D73A2">
        <w:rPr>
          <w:rFonts w:eastAsia="Times New Roman" w:cs="Times New Roman"/>
          <w:i/>
          <w:iCs/>
          <w:color w:val="000000"/>
        </w:rPr>
        <w:t>Hybrid Energy Governance</w:t>
      </w:r>
      <w:r w:rsidR="004D73A2">
        <w:rPr>
          <w:rFonts w:eastAsia="Times New Roman" w:cs="Times New Roman"/>
          <w:color w:val="000000"/>
        </w:rPr>
        <w:t xml:space="preserve">, 2014 </w:t>
      </w:r>
      <w:r w:rsidR="004D73A2" w:rsidRPr="00403D85">
        <w:rPr>
          <w:rFonts w:eastAsia="Times New Roman" w:cs="Times New Roman"/>
          <w:smallCaps/>
          <w:color w:val="000000"/>
        </w:rPr>
        <w:t>U. Ill. L. Rev.</w:t>
      </w:r>
      <w:r w:rsidR="004D73A2">
        <w:rPr>
          <w:rFonts w:eastAsia="Times New Roman" w:cs="Times New Roman"/>
          <w:color w:val="000000"/>
        </w:rPr>
        <w:t xml:space="preserve"> 1 (2014)</w:t>
      </w:r>
      <w:r w:rsidR="007C0043" w:rsidRPr="00BE4144">
        <w:rPr>
          <w:rFonts w:eastAsia="Times New Roman" w:cs="Times New Roman"/>
          <w:color w:val="000000"/>
        </w:rPr>
        <w:t xml:space="preserve">; </w:t>
      </w:r>
      <w:r w:rsidR="00422E8B" w:rsidRPr="00BE4144">
        <w:rPr>
          <w:rFonts w:cs="Times New Roman"/>
        </w:rPr>
        <w:t xml:space="preserve">Shelley Welton, </w:t>
      </w:r>
      <w:r w:rsidR="00422E8B" w:rsidRPr="00BE4144">
        <w:rPr>
          <w:rFonts w:cs="Times New Roman"/>
          <w:i/>
          <w:iCs/>
        </w:rPr>
        <w:t>Rethinking Grid Governance for the Climate Change Era</w:t>
      </w:r>
      <w:r w:rsidR="00422E8B" w:rsidRPr="00BE4144">
        <w:rPr>
          <w:rFonts w:cs="Times New Roman"/>
        </w:rPr>
        <w:t xml:space="preserve">, 109 </w:t>
      </w:r>
      <w:r w:rsidR="00422E8B" w:rsidRPr="00BE4144">
        <w:rPr>
          <w:rFonts w:cs="Times New Roman"/>
          <w:smallCaps/>
        </w:rPr>
        <w:t>Cal. L. Rev</w:t>
      </w:r>
      <w:r w:rsidR="00422E8B" w:rsidRPr="00BE4144">
        <w:rPr>
          <w:rFonts w:cs="Times New Roman"/>
        </w:rPr>
        <w:t xml:space="preserve">. 209 (2021) (describing and critiquing the degree of deference that FERC gives to RTOs under its guiding statute, the Federal Power Act, and subsequent </w:t>
      </w:r>
      <w:r w:rsidR="00C1311D" w:rsidRPr="00BE4144">
        <w:rPr>
          <w:rFonts w:cs="Times New Roman"/>
        </w:rPr>
        <w:t xml:space="preserve">court interpretations of the Act). </w:t>
      </w:r>
    </w:p>
  </w:footnote>
  <w:footnote w:id="34">
    <w:p w14:paraId="13F2336B" w14:textId="3171A69F" w:rsidR="00B6689C" w:rsidRPr="00403D85" w:rsidRDefault="00B6689C" w:rsidP="00BE4144">
      <w:pPr>
        <w:pStyle w:val="FootnoteText"/>
        <w:jc w:val="both"/>
        <w:rPr>
          <w:rFonts w:cs="Times New Roman"/>
          <w:b/>
          <w:bCs/>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(American Petroleum Institute 2022)</w:t>
      </w:r>
      <w:r w:rsidR="004D73A2">
        <w:rPr>
          <w:rFonts w:eastAsia="Times New Roman" w:cs="Times New Roman"/>
          <w:color w:val="000000"/>
        </w:rPr>
        <w:t xml:space="preserve"> </w:t>
      </w:r>
      <w:r w:rsidR="004D73A2" w:rsidRPr="00403D85">
        <w:rPr>
          <w:rFonts w:eastAsia="Times New Roman" w:cs="Times New Roman"/>
          <w:smallCaps/>
          <w:color w:val="000000"/>
        </w:rPr>
        <w:t>American Petroleum Institute,</w:t>
      </w:r>
      <w:r w:rsidR="005D55D0" w:rsidRPr="00403D85">
        <w:rPr>
          <w:rFonts w:eastAsia="Times New Roman" w:cs="Times New Roman"/>
          <w:smallCaps/>
          <w:color w:val="000000"/>
        </w:rPr>
        <w:t xml:space="preserve"> </w:t>
      </w:r>
      <w:r w:rsidR="005D55D0" w:rsidRPr="00403D85">
        <w:rPr>
          <w:rFonts w:eastAsia="Times New Roman" w:cs="Times New Roman"/>
          <w:smallCaps/>
          <w:color w:val="000000"/>
          <w:szCs w:val="24"/>
        </w:rPr>
        <w:t>Standard News and Announcements,</w:t>
      </w:r>
      <w:r w:rsidR="005D55D0">
        <w:rPr>
          <w:rFonts w:eastAsia="Times New Roman" w:cs="Times New Roman"/>
          <w:color w:val="000000"/>
          <w:szCs w:val="24"/>
        </w:rPr>
        <w:t xml:space="preserve"> </w:t>
      </w:r>
      <w:r w:rsidR="005D55D0" w:rsidRPr="00EC79E0">
        <w:rPr>
          <w:rFonts w:eastAsia="Times New Roman" w:cs="Times New Roman"/>
          <w:color w:val="000000"/>
          <w:szCs w:val="24"/>
        </w:rPr>
        <w:t>https://www.api.org/products-and-services/standards/important-standards-announcements. </w:t>
      </w:r>
      <w:r w:rsidR="005D55D0">
        <w:rPr>
          <w:rStyle w:val="CommentReference"/>
        </w:rPr>
        <w:annotationRef/>
      </w:r>
    </w:p>
  </w:footnote>
  <w:footnote w:id="35">
    <w:p w14:paraId="3814F7D2" w14:textId="076BBA02" w:rsidR="00B6689C" w:rsidRPr="00C32414" w:rsidRDefault="00B6689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5D55D0" w:rsidRPr="00403D85">
        <w:rPr>
          <w:rFonts w:eastAsia="Times New Roman" w:cs="Times New Roman"/>
          <w:smallCaps/>
          <w:color w:val="000000"/>
        </w:rPr>
        <w:t xml:space="preserve">American </w:t>
      </w:r>
      <w:proofErr w:type="spellStart"/>
      <w:r w:rsidR="005D55D0" w:rsidRPr="00403D85">
        <w:rPr>
          <w:rFonts w:eastAsia="Times New Roman" w:cs="Times New Roman"/>
          <w:smallCaps/>
          <w:color w:val="000000"/>
        </w:rPr>
        <w:t>Petrolueum</w:t>
      </w:r>
      <w:proofErr w:type="spellEnd"/>
      <w:r w:rsidR="005D55D0" w:rsidRPr="00403D85">
        <w:rPr>
          <w:rFonts w:eastAsia="Times New Roman" w:cs="Times New Roman"/>
          <w:smallCaps/>
          <w:color w:val="000000"/>
        </w:rPr>
        <w:t xml:space="preserve"> Institute, American Petroleum Institute Standards (2004)</w:t>
      </w:r>
      <w:r w:rsidR="005D55D0">
        <w:rPr>
          <w:rFonts w:eastAsia="Times New Roman" w:cs="Times New Roman"/>
          <w:smallCaps/>
          <w:color w:val="000000"/>
        </w:rPr>
        <w:t>; A</w:t>
      </w:r>
      <w:r w:rsidR="005D55D0">
        <w:rPr>
          <w:rFonts w:eastAsia="Times New Roman" w:cs="Times New Roman"/>
          <w:color w:val="000000"/>
        </w:rPr>
        <w:t xml:space="preserve">manda Leiter, </w:t>
      </w:r>
      <w:r w:rsidR="005D55D0" w:rsidRPr="00403D85">
        <w:rPr>
          <w:rFonts w:eastAsia="Times New Roman" w:cs="Times New Roman"/>
          <w:i/>
          <w:iCs/>
          <w:color w:val="222222"/>
          <w:szCs w:val="24"/>
        </w:rPr>
        <w:t>Fracking, Federalism, and Private Governance</w:t>
      </w:r>
      <w:r w:rsidR="005D55D0">
        <w:rPr>
          <w:rFonts w:eastAsia="Times New Roman" w:cs="Times New Roman"/>
          <w:color w:val="222222"/>
          <w:szCs w:val="24"/>
        </w:rPr>
        <w:t xml:space="preserve">, 39 Harv. Env. L. Rev. 107 (2015); </w:t>
      </w:r>
      <w:r w:rsidR="00C32414" w:rsidRPr="00403D85">
        <w:rPr>
          <w:rFonts w:eastAsia="Times New Roman" w:cs="Times New Roman"/>
          <w:smallCaps/>
          <w:color w:val="222222"/>
          <w:szCs w:val="24"/>
        </w:rPr>
        <w:t xml:space="preserve">Hannah Jacobs </w:t>
      </w:r>
      <w:proofErr w:type="spellStart"/>
      <w:r w:rsidR="00C32414" w:rsidRPr="00403D85">
        <w:rPr>
          <w:rFonts w:eastAsia="Times New Roman" w:cs="Times New Roman"/>
          <w:smallCaps/>
          <w:color w:val="222222"/>
          <w:szCs w:val="24"/>
        </w:rPr>
        <w:t>Wisemann</w:t>
      </w:r>
      <w:proofErr w:type="spellEnd"/>
      <w:r w:rsidR="00C32414" w:rsidRPr="00403D85">
        <w:rPr>
          <w:rFonts w:eastAsia="Times New Roman" w:cs="Times New Roman"/>
          <w:smallCaps/>
          <w:color w:val="222222"/>
          <w:szCs w:val="24"/>
        </w:rPr>
        <w:t xml:space="preserve"> &amp; Francis </w:t>
      </w:r>
      <w:proofErr w:type="spellStart"/>
      <w:r w:rsidR="00C32414" w:rsidRPr="00403D85">
        <w:rPr>
          <w:rFonts w:eastAsia="Times New Roman" w:cs="Times New Roman"/>
          <w:smallCaps/>
          <w:color w:val="222222"/>
          <w:szCs w:val="24"/>
        </w:rPr>
        <w:t>Gradijan</w:t>
      </w:r>
      <w:proofErr w:type="spellEnd"/>
      <w:r w:rsidR="00C32414" w:rsidRPr="00403D85">
        <w:rPr>
          <w:rFonts w:eastAsia="Times New Roman" w:cs="Times New Roman"/>
          <w:smallCaps/>
          <w:color w:val="222222"/>
          <w:szCs w:val="24"/>
        </w:rPr>
        <w:t>, Regulation of Shale Gas Development, Including Hydraulic Fracturing</w:t>
      </w:r>
      <w:r w:rsidR="00C32414">
        <w:rPr>
          <w:rFonts w:eastAsia="Times New Roman" w:cs="Times New Roman"/>
          <w:color w:val="222222"/>
          <w:szCs w:val="24"/>
        </w:rPr>
        <w:t xml:space="preserve"> (</w:t>
      </w:r>
      <w:r w:rsidR="00C32414" w:rsidRPr="00C32414">
        <w:rPr>
          <w:rFonts w:eastAsia="Times New Roman" w:cs="Times New Roman"/>
          <w:color w:val="222222"/>
          <w:szCs w:val="24"/>
        </w:rPr>
        <w:t>Univ. of Tul</w:t>
      </w:r>
      <w:r w:rsidR="00C32414">
        <w:rPr>
          <w:rFonts w:eastAsia="Times New Roman" w:cs="Times New Roman"/>
          <w:color w:val="222222"/>
          <w:szCs w:val="24"/>
        </w:rPr>
        <w:t xml:space="preserve">sa 2011), </w:t>
      </w:r>
      <w:hyperlink r:id="rId5" w:history="1">
        <w:r w:rsidR="00C32414" w:rsidRPr="00DD1357">
          <w:rPr>
            <w:rStyle w:val="Hyperlink"/>
            <w:rFonts w:eastAsia="Times New Roman" w:cs="Times New Roman"/>
            <w:szCs w:val="24"/>
          </w:rPr>
          <w:t>https://papers.ssrn.com/sol3/papers.cfm?abstract_id=1953547</w:t>
        </w:r>
      </w:hyperlink>
      <w:r w:rsidR="00C32414">
        <w:rPr>
          <w:rFonts w:eastAsia="Times New Roman" w:cs="Times New Roman"/>
          <w:color w:val="222222"/>
          <w:szCs w:val="24"/>
        </w:rPr>
        <w:t xml:space="preserve">. </w:t>
      </w:r>
      <w:r w:rsidR="00C32414">
        <w:rPr>
          <w:rFonts w:eastAsia="Times New Roman" w:cs="Times New Roman"/>
          <w:i/>
          <w:iCs/>
          <w:color w:val="222222"/>
          <w:szCs w:val="24"/>
        </w:rPr>
        <w:t xml:space="preserve"> </w:t>
      </w:r>
    </w:p>
  </w:footnote>
  <w:footnote w:id="36">
    <w:p w14:paraId="3AF7E519" w14:textId="7C5901B8" w:rsidR="00924635" w:rsidRPr="007A506E" w:rsidRDefault="00924635" w:rsidP="00403D85">
      <w:pPr>
        <w:pStyle w:val="NormalWeb"/>
        <w:spacing w:before="0" w:beforeAutospacing="0" w:after="0" w:afterAutospacing="0"/>
        <w:jc w:val="both"/>
      </w:pPr>
      <w:r w:rsidRPr="00BE4144">
        <w:rPr>
          <w:rStyle w:val="FootnoteReference"/>
          <w:sz w:val="20"/>
          <w:szCs w:val="20"/>
        </w:rPr>
        <w:footnoteRef/>
      </w:r>
      <w:r w:rsidRPr="00BE4144">
        <w:rPr>
          <w:sz w:val="20"/>
          <w:szCs w:val="20"/>
        </w:rPr>
        <w:t xml:space="preserve"> </w:t>
      </w:r>
      <w:r w:rsidR="00FD0F7C">
        <w:rPr>
          <w:color w:val="000000"/>
          <w:sz w:val="20"/>
          <w:szCs w:val="20"/>
        </w:rPr>
        <w:t xml:space="preserve">Austin R. Baird, Brian D. Ehrhart, Austin M. Glover &amp; Chris B. LaFleur, Sandia </w:t>
      </w:r>
      <w:proofErr w:type="spellStart"/>
      <w:r w:rsidR="00FD0F7C">
        <w:rPr>
          <w:color w:val="000000"/>
          <w:sz w:val="20"/>
          <w:szCs w:val="20"/>
        </w:rPr>
        <w:t>Nat’l</w:t>
      </w:r>
      <w:proofErr w:type="spellEnd"/>
      <w:r w:rsidR="00FD0F7C">
        <w:rPr>
          <w:color w:val="000000"/>
          <w:sz w:val="20"/>
          <w:szCs w:val="20"/>
        </w:rPr>
        <w:t xml:space="preserve"> Laboratories, SAND2021-2955, Federal Oversight of Hydrogen Systems (2021), </w:t>
      </w:r>
      <w:hyperlink r:id="rId6" w:history="1">
        <w:r w:rsidR="00FD0F7C" w:rsidRPr="00DD1357">
          <w:rPr>
            <w:rStyle w:val="Hyperlink"/>
            <w:sz w:val="20"/>
            <w:szCs w:val="20"/>
          </w:rPr>
          <w:t>https://energy.sandia.gov/wp-content/uploads/2021/03/H2-Regulatory-Map-Report_SAND2021-2955.pdf</w:t>
        </w:r>
      </w:hyperlink>
      <w:r w:rsidR="00FD0F7C">
        <w:rPr>
          <w:color w:val="000000"/>
          <w:sz w:val="20"/>
          <w:szCs w:val="20"/>
        </w:rPr>
        <w:t xml:space="preserve">. </w:t>
      </w:r>
      <w:r w:rsidRPr="00BE4144">
        <w:rPr>
          <w:color w:val="000000"/>
          <w:sz w:val="20"/>
          <w:szCs w:val="20"/>
        </w:rPr>
        <w:t xml:space="preserve">This may change </w:t>
      </w:r>
      <w:proofErr w:type="gramStart"/>
      <w:r w:rsidRPr="00BE4144">
        <w:rPr>
          <w:color w:val="000000"/>
          <w:sz w:val="20"/>
          <w:szCs w:val="20"/>
        </w:rPr>
        <w:t>in the near future</w:t>
      </w:r>
      <w:proofErr w:type="gramEnd"/>
      <w:r w:rsidRPr="00BE4144">
        <w:rPr>
          <w:color w:val="000000"/>
          <w:sz w:val="20"/>
          <w:szCs w:val="20"/>
        </w:rPr>
        <w:t>, since part of Senator Joe Manchin’s deal to secure passage of the Inflation Reduction Act was a commitment to a laundry list of “permitting reforms” to prioritize energy infrastructure development. Part of this laundry list was a broad proposal to give the Federal Energy Regulatory Commission (FERC) authority to permit hydrogen pipelines, </w:t>
      </w:r>
      <w:r w:rsidRPr="00403D85">
        <w:rPr>
          <w:sz w:val="20"/>
          <w:szCs w:val="20"/>
        </w:rPr>
        <w:t xml:space="preserve">storage, and import/export facilities. </w:t>
      </w:r>
      <w:r w:rsidRPr="00403D85">
        <w:rPr>
          <w:i/>
          <w:iCs/>
          <w:sz w:val="20"/>
          <w:szCs w:val="20"/>
        </w:rPr>
        <w:t xml:space="preserve">See </w:t>
      </w:r>
      <w:r w:rsidRPr="00403D85">
        <w:rPr>
          <w:sz w:val="20"/>
          <w:szCs w:val="20"/>
        </w:rPr>
        <w:t xml:space="preserve">Omar Samji, Dan Feldman, Gabriel Salinas, and Humzah Q. Yazdani, </w:t>
      </w:r>
      <w:r w:rsidRPr="00403D85">
        <w:rPr>
          <w:i/>
          <w:iCs/>
          <w:sz w:val="20"/>
          <w:szCs w:val="20"/>
        </w:rPr>
        <w:t>After the Inflation Reduction Act: Permitting Reforms to Expedite Energy Infrastructure Projects</w:t>
      </w:r>
      <w:r w:rsidRPr="00403D85">
        <w:rPr>
          <w:sz w:val="20"/>
          <w:szCs w:val="20"/>
        </w:rPr>
        <w:t xml:space="preserve"> (Aug. 20, 2022), https://www.mondaq.com/unitedstates/government-contracts-procurement-ppp/1225776/after-the-inflation-reduction-act-permitting-reforms-to-expedite-energy-infrastructure-projects-. However, as we write, there is a growing uncertainty</w:t>
      </w:r>
      <w:r w:rsidRPr="00BE4144">
        <w:t xml:space="preserve"> whether </w:t>
      </w:r>
      <w:r w:rsidRPr="00403D85">
        <w:rPr>
          <w:sz w:val="20"/>
          <w:szCs w:val="20"/>
        </w:rPr>
        <w:t xml:space="preserve">Manchin’s proposals will in fact become law. </w:t>
      </w:r>
      <w:r w:rsidRPr="00403D85">
        <w:rPr>
          <w:i/>
          <w:iCs/>
          <w:sz w:val="20"/>
          <w:szCs w:val="20"/>
        </w:rPr>
        <w:t xml:space="preserve">See </w:t>
      </w:r>
      <w:r w:rsidRPr="00403D85">
        <w:rPr>
          <w:sz w:val="20"/>
          <w:szCs w:val="20"/>
        </w:rPr>
        <w:t xml:space="preserve">Dean Scott, </w:t>
      </w:r>
      <w:r w:rsidRPr="00403D85">
        <w:rPr>
          <w:i/>
          <w:iCs/>
          <w:sz w:val="20"/>
          <w:szCs w:val="20"/>
        </w:rPr>
        <w:t>Manchin’s Permitting Deal Draws Skepticism from GOP Counterpart</w:t>
      </w:r>
      <w:r w:rsidRPr="00403D85">
        <w:rPr>
          <w:sz w:val="20"/>
          <w:szCs w:val="20"/>
        </w:rPr>
        <w:t>, Bloomberg (Aug. 26, 2022), https://news.bloomberglaw.com/environment-and-energy/manchins-permitting-deal-draws-skepticism-from-gop-counterpart. </w:t>
      </w:r>
    </w:p>
  </w:footnote>
  <w:footnote w:id="37">
    <w:p w14:paraId="1E4E9385" w14:textId="2B164CD1" w:rsidR="00CA0ADB" w:rsidRPr="00FD0F7C" w:rsidRDefault="00CA0ADB" w:rsidP="00BE4144">
      <w:pPr>
        <w:pStyle w:val="FootnoteText"/>
        <w:jc w:val="both"/>
        <w:rPr>
          <w:rFonts w:cs="Times New Roman"/>
        </w:rPr>
      </w:pPr>
      <w:r w:rsidRPr="00FD0F7C">
        <w:rPr>
          <w:rStyle w:val="FootnoteReference"/>
          <w:rFonts w:cs="Times New Roman"/>
        </w:rPr>
        <w:footnoteRef/>
      </w:r>
      <w:r w:rsidRPr="00FD0F7C">
        <w:rPr>
          <w:rFonts w:cs="Times New Roman"/>
        </w:rPr>
        <w:t xml:space="preserve"> </w:t>
      </w:r>
      <w:r w:rsidR="002F4A88" w:rsidRPr="00FD0F7C">
        <w:rPr>
          <w:rFonts w:cs="Times New Roman"/>
        </w:rPr>
        <w:t xml:space="preserve">Anthropic, Goole, Microsoft, and OpenAI form group dedicated to safe development of frontier AI models, </w:t>
      </w:r>
      <w:r w:rsidR="002F4A88" w:rsidRPr="00403D85">
        <w:rPr>
          <w:rFonts w:cs="Times New Roman"/>
          <w:smallCaps/>
        </w:rPr>
        <w:t>SD Times Software Development</w:t>
      </w:r>
      <w:r w:rsidR="002F4A88" w:rsidRPr="00FD0F7C">
        <w:rPr>
          <w:rFonts w:cs="Times New Roman"/>
        </w:rPr>
        <w:t xml:space="preserve">, July 28, 2023, </w:t>
      </w:r>
      <w:hyperlink r:id="rId7" w:history="1">
        <w:r w:rsidR="00DD158D" w:rsidRPr="00DD1357">
          <w:rPr>
            <w:rStyle w:val="Hyperlink"/>
            <w:rFonts w:cs="Times New Roman"/>
          </w:rPr>
          <w:t>https://sdtimes.com/ai/anthropic-google-microsoft-and-openai-form-group-dedicated-to-safe-development-of-frontier-ai-models/</w:t>
        </w:r>
      </w:hyperlink>
      <w:r w:rsidR="002F4A88" w:rsidRPr="00FD0F7C">
        <w:rPr>
          <w:rFonts w:cs="Times New Roman"/>
        </w:rPr>
        <w:t>.</w:t>
      </w:r>
    </w:p>
  </w:footnote>
  <w:footnote w:id="38">
    <w:p w14:paraId="57513C45" w14:textId="33A8B123" w:rsidR="00FE0D03" w:rsidRPr="00BE4144" w:rsidRDefault="00FE0D03"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9B02AA" w:rsidRPr="00BE4144">
        <w:rPr>
          <w:rFonts w:cs="Times New Roman"/>
        </w:rPr>
        <w:t xml:space="preserve">Frontier Model Forum, </w:t>
      </w:r>
      <w:r w:rsidR="009B02AA" w:rsidRPr="00403D85">
        <w:rPr>
          <w:rFonts w:cs="Times New Roman"/>
          <w:smallCaps/>
        </w:rPr>
        <w:t>OpenAI</w:t>
      </w:r>
      <w:r w:rsidR="001F739C" w:rsidRPr="00BE4144">
        <w:rPr>
          <w:rFonts w:cs="Times New Roman"/>
        </w:rPr>
        <w:t xml:space="preserve">, </w:t>
      </w:r>
      <w:hyperlink r:id="rId8" w:history="1">
        <w:r w:rsidR="00DD158D" w:rsidRPr="00DD1357">
          <w:rPr>
            <w:rStyle w:val="Hyperlink"/>
            <w:rFonts w:cs="Times New Roman"/>
          </w:rPr>
          <w:t>https://openai.com/blog/frontier-model-forum</w:t>
        </w:r>
      </w:hyperlink>
      <w:r w:rsidR="001F739C" w:rsidRPr="00BE4144">
        <w:rPr>
          <w:rFonts w:cs="Times New Roman"/>
        </w:rPr>
        <w:t>.</w:t>
      </w:r>
    </w:p>
  </w:footnote>
  <w:footnote w:id="39">
    <w:p w14:paraId="7D9E905C" w14:textId="248D4C4D" w:rsidR="00E2112D" w:rsidRPr="00E2112D" w:rsidRDefault="00E2112D">
      <w:pPr>
        <w:pStyle w:val="FootnoteText"/>
      </w:pPr>
      <w:r>
        <w:rPr>
          <w:rStyle w:val="FootnoteReference"/>
        </w:rPr>
        <w:footnoteRef/>
      </w:r>
      <w:r>
        <w:t xml:space="preserve"> Ford, </w:t>
      </w:r>
      <w:r>
        <w:rPr>
          <w:i/>
          <w:iCs/>
        </w:rPr>
        <w:t xml:space="preserve">supra </w:t>
      </w:r>
      <w:r>
        <w:t xml:space="preserve">note </w:t>
      </w:r>
      <w:r>
        <w:fldChar w:fldCharType="begin"/>
      </w:r>
      <w:r>
        <w:instrText xml:space="preserve"> NOTEREF _Ref142312240 \h </w:instrText>
      </w:r>
      <w:r>
        <w:fldChar w:fldCharType="separate"/>
      </w:r>
      <w:r>
        <w:t>7</w:t>
      </w:r>
      <w:r>
        <w:fldChar w:fldCharType="end"/>
      </w:r>
      <w:r>
        <w:t>.</w:t>
      </w:r>
    </w:p>
  </w:footnote>
  <w:footnote w:id="40">
    <w:p w14:paraId="60DED110" w14:textId="37B05570" w:rsidR="00E2112D" w:rsidRPr="00F43B20" w:rsidRDefault="00E2112D">
      <w:pPr>
        <w:pStyle w:val="FootnoteText"/>
      </w:pPr>
      <w:r>
        <w:rPr>
          <w:rStyle w:val="FootnoteReference"/>
        </w:rPr>
        <w:footnoteRef/>
      </w:r>
      <w:r>
        <w:t xml:space="preserve"> </w:t>
      </w:r>
      <w:r w:rsidR="00F43B20">
        <w:t xml:space="preserve">Ayres &amp; Braithwaite, </w:t>
      </w:r>
      <w:r w:rsidR="00F43B20">
        <w:rPr>
          <w:i/>
          <w:iCs/>
        </w:rPr>
        <w:t xml:space="preserve">supra </w:t>
      </w:r>
      <w:r w:rsidR="00F43B20">
        <w:t>note 9.</w:t>
      </w:r>
    </w:p>
  </w:footnote>
  <w:footnote w:id="41">
    <w:p w14:paraId="6873CA3F" w14:textId="2C51A042" w:rsidR="00F43B20" w:rsidRPr="00F43B20" w:rsidRDefault="00F43B20">
      <w:pPr>
        <w:pStyle w:val="FootnoteText"/>
      </w:pPr>
      <w:r>
        <w:rPr>
          <w:rStyle w:val="FootnoteReference"/>
        </w:rPr>
        <w:footnoteRef/>
      </w:r>
      <w:r>
        <w:t xml:space="preserve"> Jody Freeman, </w:t>
      </w:r>
      <w:r>
        <w:rPr>
          <w:i/>
          <w:iCs/>
        </w:rPr>
        <w:t>Collaborative Governance in the Administrative State</w:t>
      </w:r>
      <w:r>
        <w:t>, 45 UCLA L. Rev. 1 (1997).</w:t>
      </w:r>
    </w:p>
  </w:footnote>
  <w:footnote w:id="42">
    <w:p w14:paraId="495E16E4" w14:textId="136EB441" w:rsidR="00F75BC2" w:rsidRPr="00BE4144" w:rsidRDefault="00F75BC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eastAsia="Times New Roman" w:cs="Times New Roman"/>
          <w:color w:val="000000"/>
          <w:highlight w:val="yellow"/>
        </w:rPr>
        <w:t>(Short &amp; Toffel 2010, 361)</w:t>
      </w:r>
    </w:p>
  </w:footnote>
  <w:footnote w:id="43">
    <w:p w14:paraId="358B78FE" w14:textId="7DA3DEA9" w:rsidR="00F75BC2" w:rsidRPr="00BE4144" w:rsidRDefault="00F75BC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121021">
        <w:rPr>
          <w:rFonts w:eastAsia="Times New Roman" w:cs="Times New Roman"/>
          <w:color w:val="000000"/>
        </w:rPr>
        <w:t xml:space="preserve">Prakash &amp; Matthew Potoski, </w:t>
      </w:r>
      <w:r w:rsidR="00121021">
        <w:rPr>
          <w:rFonts w:eastAsia="Times New Roman" w:cs="Times New Roman"/>
          <w:i/>
          <w:iCs/>
          <w:color w:val="000000"/>
        </w:rPr>
        <w:t>Voluntary Environmental Programs: A Comparative Perspective</w:t>
      </w:r>
      <w:r w:rsidR="00121021">
        <w:rPr>
          <w:rFonts w:eastAsia="Times New Roman" w:cs="Times New Roman"/>
          <w:color w:val="000000"/>
        </w:rPr>
        <w:t xml:space="preserve">, 31 J. </w:t>
      </w:r>
      <w:proofErr w:type="spellStart"/>
      <w:r w:rsidR="00121021" w:rsidRPr="00190F2A">
        <w:rPr>
          <w:rFonts w:eastAsia="Times New Roman" w:cs="Times New Roman"/>
          <w:smallCaps/>
          <w:color w:val="000000"/>
        </w:rPr>
        <w:t>Pol’y</w:t>
      </w:r>
      <w:proofErr w:type="spellEnd"/>
      <w:r w:rsidR="00121021" w:rsidRPr="00190F2A">
        <w:rPr>
          <w:rFonts w:eastAsia="Times New Roman" w:cs="Times New Roman"/>
          <w:smallCaps/>
          <w:color w:val="000000"/>
        </w:rPr>
        <w:t xml:space="preserve"> Analysis and Mgmt.</w:t>
      </w:r>
      <w:r w:rsidR="00121021">
        <w:rPr>
          <w:rFonts w:eastAsia="Times New Roman" w:cs="Times New Roman"/>
          <w:color w:val="000000"/>
        </w:rPr>
        <w:t xml:space="preserve"> 123, 128 (2011).</w:t>
      </w:r>
    </w:p>
  </w:footnote>
  <w:footnote w:id="44">
    <w:p w14:paraId="6AF55E7A" w14:textId="2E542FDC" w:rsidR="00F75BC2" w:rsidRPr="00EF770A" w:rsidRDefault="00F75BC2" w:rsidP="00BE4144">
      <w:pPr>
        <w:pStyle w:val="FootnoteText"/>
        <w:jc w:val="both"/>
        <w:rPr>
          <w:rFonts w:cs="Times New Roman"/>
        </w:rPr>
      </w:pPr>
      <w:bookmarkStart w:id="21" w:name="_Hlk142229585"/>
      <w:r w:rsidRPr="00BE4144">
        <w:rPr>
          <w:rStyle w:val="FootnoteReference"/>
          <w:rFonts w:cs="Times New Roman"/>
        </w:rPr>
        <w:footnoteRef/>
      </w:r>
      <w:r w:rsidRPr="00BE4144">
        <w:rPr>
          <w:rFonts w:cs="Times New Roman"/>
        </w:rPr>
        <w:t xml:space="preserve"> </w:t>
      </w:r>
      <w:r w:rsidR="00EF770A">
        <w:rPr>
          <w:rFonts w:eastAsia="Times New Roman" w:cs="Times New Roman"/>
          <w:color w:val="000000"/>
        </w:rPr>
        <w:t xml:space="preserve">Andrew A. King &amp; Michael J. Lenox, </w:t>
      </w:r>
      <w:r w:rsidR="00EF770A" w:rsidRPr="00190F2A">
        <w:rPr>
          <w:rFonts w:eastAsia="Times New Roman" w:cs="Times New Roman"/>
          <w:i/>
          <w:iCs/>
          <w:color w:val="000000"/>
        </w:rPr>
        <w:t>Industry Self-Regulation without Sanctions: The Chemical Industry</w:t>
      </w:r>
      <w:r w:rsidR="00DD158D">
        <w:rPr>
          <w:rFonts w:eastAsia="Times New Roman" w:cs="Times New Roman"/>
          <w:i/>
          <w:iCs/>
          <w:color w:val="000000"/>
        </w:rPr>
        <w:t>’</w:t>
      </w:r>
      <w:r w:rsidR="00EF770A" w:rsidRPr="00190F2A">
        <w:rPr>
          <w:rFonts w:eastAsia="Times New Roman" w:cs="Times New Roman"/>
          <w:i/>
          <w:iCs/>
          <w:color w:val="000000"/>
        </w:rPr>
        <w:t>s Responsible Care Program</w:t>
      </w:r>
      <w:r w:rsidR="00EF770A">
        <w:rPr>
          <w:rFonts w:eastAsia="Times New Roman" w:cs="Times New Roman"/>
          <w:color w:val="000000"/>
        </w:rPr>
        <w:t xml:space="preserve">, 43 </w:t>
      </w:r>
      <w:r w:rsidR="00EF770A" w:rsidRPr="00190F2A">
        <w:rPr>
          <w:rFonts w:eastAsia="Times New Roman" w:cs="Times New Roman"/>
          <w:smallCaps/>
          <w:color w:val="000000"/>
        </w:rPr>
        <w:t>Acad</w:t>
      </w:r>
      <w:r w:rsidR="00EF770A">
        <w:rPr>
          <w:rFonts w:eastAsia="Times New Roman" w:cs="Times New Roman"/>
          <w:smallCaps/>
          <w:color w:val="000000"/>
        </w:rPr>
        <w:t>.</w:t>
      </w:r>
      <w:r w:rsidR="00EF770A" w:rsidRPr="00190F2A">
        <w:rPr>
          <w:rFonts w:eastAsia="Times New Roman" w:cs="Times New Roman"/>
          <w:smallCaps/>
          <w:color w:val="000000"/>
        </w:rPr>
        <w:t xml:space="preserve"> of Mgmt. J.</w:t>
      </w:r>
      <w:r w:rsidR="00EF770A">
        <w:rPr>
          <w:rFonts w:eastAsia="Times New Roman" w:cs="Times New Roman"/>
          <w:color w:val="000000"/>
        </w:rPr>
        <w:t xml:space="preserve"> 698 (2000)</w:t>
      </w:r>
      <w:bookmarkEnd w:id="21"/>
      <w:r w:rsidRPr="00BE4144">
        <w:rPr>
          <w:rFonts w:eastAsia="Times New Roman" w:cs="Times New Roman"/>
          <w:color w:val="000000"/>
        </w:rPr>
        <w:t>; Maxwell, Lyon, &amp; Hackett 2000)</w:t>
      </w:r>
      <w:r w:rsidR="00EF770A">
        <w:rPr>
          <w:rFonts w:eastAsia="Times New Roman" w:cs="Times New Roman"/>
          <w:color w:val="000000"/>
        </w:rPr>
        <w:t xml:space="preserve"> </w:t>
      </w:r>
      <w:r w:rsidR="00EF770A" w:rsidRPr="00EF770A">
        <w:rPr>
          <w:rFonts w:eastAsia="Times New Roman" w:cs="Times New Roman"/>
          <w:color w:val="000000"/>
        </w:rPr>
        <w:t>John W. Maxwell, Thomas P. Lyon</w:t>
      </w:r>
      <w:r w:rsidR="00EF770A">
        <w:rPr>
          <w:rFonts w:eastAsia="Times New Roman" w:cs="Times New Roman"/>
          <w:color w:val="000000"/>
        </w:rPr>
        <w:t xml:space="preserve"> &amp;</w:t>
      </w:r>
      <w:r w:rsidR="00EF770A" w:rsidRPr="00EF770A">
        <w:rPr>
          <w:rFonts w:eastAsia="Times New Roman" w:cs="Times New Roman"/>
          <w:color w:val="000000"/>
        </w:rPr>
        <w:t xml:space="preserve"> Steven C. Hackett</w:t>
      </w:r>
      <w:r w:rsidR="00EF770A">
        <w:rPr>
          <w:rFonts w:eastAsia="Times New Roman" w:cs="Times New Roman"/>
          <w:color w:val="000000"/>
        </w:rPr>
        <w:t xml:space="preserve">, </w:t>
      </w:r>
      <w:r w:rsidR="00EF770A" w:rsidRPr="00403D85">
        <w:rPr>
          <w:rFonts w:eastAsia="Times New Roman" w:cs="Times New Roman"/>
          <w:i/>
          <w:iCs/>
          <w:color w:val="000000"/>
        </w:rPr>
        <w:t>Self</w:t>
      </w:r>
      <w:r w:rsidR="00EF770A" w:rsidRPr="00EF770A">
        <w:rPr>
          <w:rFonts w:eastAsia="Times New Roman" w:cs="Times New Roman"/>
          <w:i/>
          <w:iCs/>
          <w:color w:val="000000"/>
        </w:rPr>
        <w:t xml:space="preserve">-Regulation </w:t>
      </w:r>
      <w:r w:rsidR="00EF770A">
        <w:rPr>
          <w:rFonts w:eastAsia="Times New Roman" w:cs="Times New Roman"/>
          <w:i/>
          <w:iCs/>
          <w:color w:val="000000"/>
        </w:rPr>
        <w:t>a</w:t>
      </w:r>
      <w:r w:rsidR="00EF770A" w:rsidRPr="00EF770A">
        <w:rPr>
          <w:rFonts w:eastAsia="Times New Roman" w:cs="Times New Roman"/>
          <w:i/>
          <w:iCs/>
          <w:color w:val="000000"/>
        </w:rPr>
        <w:t xml:space="preserve">nd Social Welfare: </w:t>
      </w:r>
      <w:r w:rsidR="00EF770A" w:rsidRPr="00403D85">
        <w:rPr>
          <w:rFonts w:eastAsia="Times New Roman" w:cs="Times New Roman"/>
          <w:i/>
          <w:iCs/>
          <w:color w:val="000000"/>
        </w:rPr>
        <w:t xml:space="preserve">The </w:t>
      </w:r>
      <w:r w:rsidR="00EF770A" w:rsidRPr="00EF770A">
        <w:rPr>
          <w:rFonts w:eastAsia="Times New Roman" w:cs="Times New Roman"/>
          <w:i/>
          <w:iCs/>
          <w:color w:val="000000"/>
        </w:rPr>
        <w:t xml:space="preserve">Political Economy </w:t>
      </w:r>
      <w:r w:rsidR="00EF770A">
        <w:rPr>
          <w:rFonts w:eastAsia="Times New Roman" w:cs="Times New Roman"/>
          <w:i/>
          <w:iCs/>
          <w:color w:val="000000"/>
        </w:rPr>
        <w:t>o</w:t>
      </w:r>
      <w:r w:rsidR="00EF770A" w:rsidRPr="00EF770A">
        <w:rPr>
          <w:rFonts w:eastAsia="Times New Roman" w:cs="Times New Roman"/>
          <w:i/>
          <w:iCs/>
          <w:color w:val="000000"/>
        </w:rPr>
        <w:t>f Corporate Environmentalism</w:t>
      </w:r>
      <w:r w:rsidR="00EF770A">
        <w:rPr>
          <w:rFonts w:eastAsia="Times New Roman" w:cs="Times New Roman"/>
          <w:color w:val="000000"/>
        </w:rPr>
        <w:t xml:space="preserve">, 43 </w:t>
      </w:r>
      <w:r w:rsidR="00EF770A" w:rsidRPr="00403D85">
        <w:rPr>
          <w:rFonts w:eastAsia="Times New Roman" w:cs="Times New Roman"/>
          <w:smallCaps/>
          <w:color w:val="000000"/>
        </w:rPr>
        <w:t>J. L. &amp; Econ.</w:t>
      </w:r>
      <w:r w:rsidR="00957C96">
        <w:rPr>
          <w:rFonts w:eastAsia="Times New Roman" w:cs="Times New Roman"/>
          <w:color w:val="000000"/>
        </w:rPr>
        <w:t xml:space="preserve"> 583 (2000).</w:t>
      </w:r>
    </w:p>
  </w:footnote>
  <w:footnote w:id="45">
    <w:p w14:paraId="0A88359E" w14:textId="6EBCDF4A" w:rsidR="00F75BC2" w:rsidRPr="00BE4144" w:rsidRDefault="00F75BC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957C96" w:rsidRPr="00403D85">
        <w:rPr>
          <w:rFonts w:eastAsia="Times New Roman" w:cs="Times New Roman"/>
          <w:smallCaps/>
          <w:color w:val="000000"/>
        </w:rPr>
        <w:t>Neil Gunningham, Robert A. Kagan, &amp; Dorothy Thornton, Shades of Green: Business, Regulation, and Environment</w:t>
      </w:r>
      <w:r w:rsidR="00957C96">
        <w:rPr>
          <w:rFonts w:eastAsia="Times New Roman" w:cs="Times New Roman"/>
          <w:smallCaps/>
          <w:color w:val="000000"/>
        </w:rPr>
        <w:t xml:space="preserve"> (2003).</w:t>
      </w:r>
    </w:p>
  </w:footnote>
  <w:footnote w:id="46">
    <w:p w14:paraId="57D406C8" w14:textId="195B23E7" w:rsidR="001405CA" w:rsidRPr="00BE4144" w:rsidRDefault="001405C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(Michael 1995; Short &amp; Toffel 2010; Omarova 2011)</w:t>
      </w:r>
      <w:r w:rsidR="00957C96">
        <w:rPr>
          <w:rFonts w:eastAsia="Times New Roman" w:cs="Times New Roman"/>
          <w:color w:val="000000"/>
        </w:rPr>
        <w:t xml:space="preserve"> Douglas C. Michael, </w:t>
      </w:r>
      <w:r w:rsidR="00957C96" w:rsidRPr="00190F2A">
        <w:rPr>
          <w:rFonts w:eastAsia="Times New Roman" w:cs="Times New Roman"/>
          <w:i/>
          <w:iCs/>
          <w:color w:val="000000"/>
        </w:rPr>
        <w:t>Federal Agency Use of Self-Audited Regulators as a Regulatory Technique</w:t>
      </w:r>
      <w:r w:rsidR="00957C96">
        <w:rPr>
          <w:rFonts w:eastAsia="Times New Roman" w:cs="Times New Roman"/>
          <w:color w:val="000000"/>
        </w:rPr>
        <w:t xml:space="preserve">, 47 </w:t>
      </w:r>
      <w:r w:rsidR="00957C96" w:rsidRPr="00190F2A">
        <w:rPr>
          <w:rFonts w:eastAsia="Times New Roman" w:cs="Times New Roman"/>
          <w:smallCaps/>
          <w:color w:val="000000"/>
        </w:rPr>
        <w:t>Admin. L. Rev. 171 (</w:t>
      </w:r>
      <w:r w:rsidR="00957C96">
        <w:rPr>
          <w:rFonts w:eastAsia="Times New Roman" w:cs="Times New Roman"/>
          <w:color w:val="000000"/>
        </w:rPr>
        <w:t xml:space="preserve">1995); __; Saule T. Omarova, </w:t>
      </w:r>
      <w:r w:rsidR="00957C96" w:rsidRPr="00190F2A">
        <w:rPr>
          <w:rFonts w:eastAsia="Times New Roman" w:cs="Times New Roman"/>
          <w:i/>
          <w:iCs/>
          <w:color w:val="222222"/>
          <w:szCs w:val="24"/>
          <w:shd w:val="clear" w:color="auto" w:fill="FFFFFF"/>
        </w:rPr>
        <w:t>Wall Street as Community of Fate: Toward Financial Industry Self-Regulation</w:t>
      </w:r>
      <w:r w:rsidR="00957C96">
        <w:rPr>
          <w:rFonts w:eastAsia="Times New Roman" w:cs="Times New Roman"/>
          <w:color w:val="222222"/>
          <w:szCs w:val="24"/>
          <w:shd w:val="clear" w:color="auto" w:fill="FFFFFF"/>
        </w:rPr>
        <w:t xml:space="preserve">, 159 </w:t>
      </w:r>
      <w:r w:rsidR="00957C96" w:rsidRPr="00190F2A">
        <w:rPr>
          <w:rFonts w:eastAsia="Times New Roman" w:cs="Times New Roman"/>
          <w:smallCaps/>
          <w:color w:val="222222"/>
          <w:szCs w:val="24"/>
          <w:shd w:val="clear" w:color="auto" w:fill="FFFFFF"/>
        </w:rPr>
        <w:t>U. Pa. L. Rev.</w:t>
      </w:r>
      <w:r w:rsidR="00957C96">
        <w:rPr>
          <w:rFonts w:eastAsia="Times New Roman" w:cs="Times New Roman"/>
          <w:color w:val="222222"/>
          <w:szCs w:val="24"/>
          <w:shd w:val="clear" w:color="auto" w:fill="FFFFFF"/>
        </w:rPr>
        <w:t xml:space="preserve"> 411 (2011).</w:t>
      </w:r>
    </w:p>
  </w:footnote>
  <w:footnote w:id="47">
    <w:p w14:paraId="10817CD6" w14:textId="5ECF07F3" w:rsidR="001405CA" w:rsidRPr="00BE4144" w:rsidRDefault="001405C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D22CC">
        <w:rPr>
          <w:rFonts w:cs="Times New Roman"/>
        </w:rPr>
        <w:t xml:space="preserve">Ruthanne </w:t>
      </w:r>
      <w:proofErr w:type="spellStart"/>
      <w:r w:rsidRPr="00BE4144">
        <w:rPr>
          <w:rFonts w:eastAsia="Times New Roman" w:cs="Times New Roman"/>
          <w:color w:val="000000"/>
        </w:rPr>
        <w:t>Huising</w:t>
      </w:r>
      <w:proofErr w:type="spellEnd"/>
      <w:r w:rsidRPr="00BE4144">
        <w:rPr>
          <w:rFonts w:eastAsia="Times New Roman" w:cs="Times New Roman"/>
          <w:color w:val="000000"/>
        </w:rPr>
        <w:t xml:space="preserve"> &amp; </w:t>
      </w:r>
      <w:r w:rsidR="00FD22CC">
        <w:rPr>
          <w:rFonts w:eastAsia="Times New Roman" w:cs="Times New Roman"/>
          <w:color w:val="000000"/>
        </w:rPr>
        <w:t xml:space="preserve">Susan S. </w:t>
      </w:r>
      <w:proofErr w:type="spellStart"/>
      <w:r w:rsidRPr="00BE4144">
        <w:rPr>
          <w:rFonts w:eastAsia="Times New Roman" w:cs="Times New Roman"/>
          <w:color w:val="000000"/>
        </w:rPr>
        <w:t>Silbey</w:t>
      </w:r>
      <w:proofErr w:type="spellEnd"/>
      <w:r w:rsidR="00FD22CC">
        <w:rPr>
          <w:rFonts w:eastAsia="Times New Roman" w:cs="Times New Roman"/>
          <w:color w:val="000000"/>
        </w:rPr>
        <w:t xml:space="preserve">, </w:t>
      </w:r>
      <w:r w:rsidR="00FD22CC" w:rsidRPr="00403D85">
        <w:rPr>
          <w:rFonts w:eastAsia="Times New Roman" w:cs="Times New Roman"/>
          <w:i/>
          <w:iCs/>
          <w:color w:val="000000"/>
        </w:rPr>
        <w:t>Accountability infrastructures: Pragmatic compliance inside organizations</w:t>
      </w:r>
      <w:r w:rsidR="00FD22CC">
        <w:rPr>
          <w:rFonts w:eastAsia="Times New Roman" w:cs="Times New Roman"/>
          <w:color w:val="000000"/>
        </w:rPr>
        <w:t xml:space="preserve">, 15 </w:t>
      </w:r>
      <w:proofErr w:type="spellStart"/>
      <w:r w:rsidR="00FD22CC" w:rsidRPr="00403D85">
        <w:rPr>
          <w:rFonts w:eastAsia="Times New Roman" w:cs="Times New Roman"/>
          <w:smallCaps/>
          <w:color w:val="000000"/>
        </w:rPr>
        <w:t>Regul</w:t>
      </w:r>
      <w:proofErr w:type="spellEnd"/>
      <w:r w:rsidR="00FD22CC" w:rsidRPr="00403D85">
        <w:rPr>
          <w:rFonts w:eastAsia="Times New Roman" w:cs="Times New Roman"/>
          <w:smallCaps/>
          <w:color w:val="000000"/>
        </w:rPr>
        <w:t>. &amp; Governance</w:t>
      </w:r>
      <w:r w:rsidR="00FD22CC">
        <w:rPr>
          <w:rFonts w:eastAsia="Times New Roman" w:cs="Times New Roman"/>
          <w:color w:val="000000"/>
        </w:rPr>
        <w:t xml:space="preserve"> S40</w:t>
      </w:r>
      <w:r w:rsidRPr="00BE4144">
        <w:rPr>
          <w:rFonts w:eastAsia="Times New Roman" w:cs="Times New Roman"/>
          <w:color w:val="000000"/>
        </w:rPr>
        <w:t xml:space="preserve"> </w:t>
      </w:r>
      <w:r w:rsidR="00FD22CC">
        <w:rPr>
          <w:rFonts w:eastAsia="Times New Roman" w:cs="Times New Roman"/>
          <w:color w:val="000000"/>
        </w:rPr>
        <w:t>(</w:t>
      </w:r>
      <w:r w:rsidRPr="00BE4144">
        <w:rPr>
          <w:rFonts w:eastAsia="Times New Roman" w:cs="Times New Roman"/>
          <w:color w:val="000000"/>
        </w:rPr>
        <w:t>2021)</w:t>
      </w:r>
      <w:r w:rsidR="00FD22CC">
        <w:rPr>
          <w:rFonts w:eastAsia="Times New Roman" w:cs="Times New Roman"/>
          <w:color w:val="000000"/>
        </w:rPr>
        <w:t>.</w:t>
      </w:r>
      <w:r w:rsidR="00957C96">
        <w:rPr>
          <w:rFonts w:eastAsia="Times New Roman" w:cs="Times New Roman"/>
          <w:color w:val="000000"/>
        </w:rPr>
        <w:t xml:space="preserve"> </w:t>
      </w:r>
    </w:p>
  </w:footnote>
  <w:footnote w:id="48">
    <w:p w14:paraId="27A0E161" w14:textId="528F0C7A" w:rsidR="00107CF7" w:rsidRPr="00BE4144" w:rsidRDefault="00107CF7"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D22CC" w:rsidRPr="00403D85">
        <w:rPr>
          <w:rFonts w:cs="Times New Roman"/>
          <w:smallCaps/>
        </w:rPr>
        <w:t xml:space="preserve">I. Ayres &amp; J. </w:t>
      </w:r>
      <w:proofErr w:type="spellStart"/>
      <w:r w:rsidR="00FD22CC" w:rsidRPr="00403D85">
        <w:rPr>
          <w:rFonts w:cs="Times New Roman"/>
          <w:smallCaps/>
        </w:rPr>
        <w:t>Braithwiate</w:t>
      </w:r>
      <w:proofErr w:type="spellEnd"/>
      <w:r w:rsidR="00FD22CC" w:rsidRPr="00403D85">
        <w:rPr>
          <w:rFonts w:cs="Times New Roman"/>
          <w:smallCaps/>
        </w:rPr>
        <w:t>,  Responsive Regulation: Transcending the Deregulation debate</w:t>
      </w:r>
      <w:r w:rsidR="00FD22CC">
        <w:rPr>
          <w:rFonts w:cs="Times New Roman"/>
        </w:rPr>
        <w:t xml:space="preserve"> </w:t>
      </w:r>
      <w:r w:rsidRPr="00BE4144">
        <w:rPr>
          <w:rFonts w:eastAsia="Times New Roman" w:cs="Times New Roman"/>
          <w:color w:val="000000"/>
        </w:rPr>
        <w:t>(</w:t>
      </w:r>
      <w:r w:rsidR="00FD22CC">
        <w:rPr>
          <w:rFonts w:eastAsia="Times New Roman" w:cs="Times New Roman"/>
          <w:color w:val="000000"/>
        </w:rPr>
        <w:t xml:space="preserve">1992). </w:t>
      </w:r>
    </w:p>
  </w:footnote>
  <w:footnote w:id="49">
    <w:p w14:paraId="1CCCA3F4" w14:textId="39779800" w:rsidR="00107CF7" w:rsidRPr="00BE4144" w:rsidRDefault="00107CF7"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126E9F" w:rsidRPr="00126E9F">
        <w:rPr>
          <w:rFonts w:eastAsia="Times New Roman" w:cs="Times New Roman"/>
          <w:color w:val="000000"/>
        </w:rPr>
        <w:t>Paul Moritz Wiegmann, Felix Eggers, Henk J. de Vries</w:t>
      </w:r>
      <w:r w:rsidR="00126E9F">
        <w:rPr>
          <w:rFonts w:eastAsia="Times New Roman" w:cs="Times New Roman"/>
          <w:color w:val="000000"/>
        </w:rPr>
        <w:t xml:space="preserve"> &amp;</w:t>
      </w:r>
      <w:r w:rsidR="00126E9F" w:rsidRPr="00126E9F">
        <w:rPr>
          <w:rFonts w:eastAsia="Times New Roman" w:cs="Times New Roman"/>
          <w:color w:val="000000"/>
        </w:rPr>
        <w:t xml:space="preserve"> Knut Blind</w:t>
      </w:r>
      <w:r w:rsidR="00FD22CC">
        <w:rPr>
          <w:rFonts w:eastAsia="Times New Roman" w:cs="Times New Roman"/>
          <w:color w:val="000000"/>
        </w:rPr>
        <w:t xml:space="preserve">, </w:t>
      </w:r>
      <w:r w:rsidR="00FD22CC" w:rsidRPr="00403D85">
        <w:rPr>
          <w:rFonts w:eastAsia="Times New Roman" w:cs="Times New Roman"/>
          <w:i/>
          <w:iCs/>
          <w:color w:val="000000"/>
        </w:rPr>
        <w:t>Competing Standard-Setting Organizations: A Choice Experiment</w:t>
      </w:r>
      <w:r w:rsidR="00FD22CC">
        <w:rPr>
          <w:rFonts w:eastAsia="Times New Roman" w:cs="Times New Roman"/>
          <w:color w:val="000000"/>
        </w:rPr>
        <w:t xml:space="preserve">, 51 </w:t>
      </w:r>
      <w:proofErr w:type="spellStart"/>
      <w:r w:rsidR="00FD22CC">
        <w:rPr>
          <w:rFonts w:eastAsia="Times New Roman" w:cs="Times New Roman"/>
          <w:color w:val="000000"/>
        </w:rPr>
        <w:t>Rsch</w:t>
      </w:r>
      <w:proofErr w:type="spellEnd"/>
      <w:r w:rsidR="00126E9F">
        <w:rPr>
          <w:rFonts w:eastAsia="Times New Roman" w:cs="Times New Roman"/>
          <w:color w:val="000000"/>
        </w:rPr>
        <w:t xml:space="preserve">. &amp; </w:t>
      </w:r>
      <w:proofErr w:type="spellStart"/>
      <w:r w:rsidR="00126E9F">
        <w:rPr>
          <w:rFonts w:eastAsia="Times New Roman" w:cs="Times New Roman"/>
          <w:color w:val="000000"/>
        </w:rPr>
        <w:t>Pol’y</w:t>
      </w:r>
      <w:proofErr w:type="spellEnd"/>
      <w:r w:rsidR="00126E9F">
        <w:rPr>
          <w:rFonts w:eastAsia="Times New Roman" w:cs="Times New Roman"/>
          <w:color w:val="000000"/>
        </w:rPr>
        <w:t xml:space="preserve"> 104427 (</w:t>
      </w:r>
      <w:r w:rsidRPr="00BE4144">
        <w:rPr>
          <w:rFonts w:eastAsia="Times New Roman" w:cs="Times New Roman"/>
          <w:color w:val="000000"/>
        </w:rPr>
        <w:t>2022</w:t>
      </w:r>
      <w:r w:rsidR="00126E9F">
        <w:rPr>
          <w:rFonts w:eastAsia="Times New Roman" w:cs="Times New Roman"/>
          <w:color w:val="000000"/>
        </w:rPr>
        <w:t>)</w:t>
      </w:r>
      <w:r w:rsidRPr="00BE4144">
        <w:rPr>
          <w:rFonts w:eastAsia="Times New Roman" w:cs="Times New Roman"/>
          <w:color w:val="000000"/>
        </w:rPr>
        <w:t xml:space="preserve">; </w:t>
      </w:r>
      <w:r w:rsidR="00126E9F" w:rsidRPr="00126E9F">
        <w:rPr>
          <w:rFonts w:eastAsia="Times New Roman" w:cs="Times New Roman"/>
          <w:color w:val="000000"/>
        </w:rPr>
        <w:t xml:space="preserve">Christodoulos </w:t>
      </w:r>
      <w:proofErr w:type="spellStart"/>
      <w:r w:rsidR="00126E9F" w:rsidRPr="00126E9F">
        <w:rPr>
          <w:rFonts w:eastAsia="Times New Roman" w:cs="Times New Roman"/>
          <w:color w:val="000000"/>
        </w:rPr>
        <w:t>Stefanadis</w:t>
      </w:r>
      <w:proofErr w:type="spellEnd"/>
      <w:r w:rsidR="00126E9F">
        <w:rPr>
          <w:rFonts w:eastAsia="Times New Roman" w:cs="Times New Roman"/>
          <w:color w:val="000000"/>
        </w:rPr>
        <w:t xml:space="preserve">, </w:t>
      </w:r>
      <w:r w:rsidR="00126E9F" w:rsidRPr="00403D85">
        <w:rPr>
          <w:rFonts w:eastAsia="Times New Roman" w:cs="Times New Roman"/>
          <w:i/>
          <w:iCs/>
          <w:color w:val="000000"/>
        </w:rPr>
        <w:t>Self-Regulation, Innovation, and the Financial</w:t>
      </w:r>
      <w:r w:rsidR="00126E9F" w:rsidRPr="00126E9F">
        <w:rPr>
          <w:rFonts w:eastAsia="Times New Roman" w:cs="Times New Roman"/>
          <w:color w:val="000000"/>
        </w:rPr>
        <w:t xml:space="preserve"> </w:t>
      </w:r>
      <w:r w:rsidR="00126E9F" w:rsidRPr="00403D85">
        <w:rPr>
          <w:rFonts w:eastAsia="Times New Roman" w:cs="Times New Roman"/>
          <w:i/>
          <w:iCs/>
          <w:color w:val="000000"/>
        </w:rPr>
        <w:t>Industry</w:t>
      </w:r>
      <w:r w:rsidR="00126E9F">
        <w:rPr>
          <w:rFonts w:eastAsia="Times New Roman" w:cs="Times New Roman"/>
          <w:color w:val="000000"/>
        </w:rPr>
        <w:t xml:space="preserve">, 23 J. </w:t>
      </w:r>
      <w:proofErr w:type="spellStart"/>
      <w:r w:rsidR="00126E9F">
        <w:rPr>
          <w:rFonts w:eastAsia="Times New Roman" w:cs="Times New Roman"/>
          <w:color w:val="000000"/>
        </w:rPr>
        <w:t>Regul</w:t>
      </w:r>
      <w:proofErr w:type="spellEnd"/>
      <w:r w:rsidR="00126E9F">
        <w:rPr>
          <w:rFonts w:eastAsia="Times New Roman" w:cs="Times New Roman"/>
          <w:color w:val="000000"/>
        </w:rPr>
        <w:t>. Econ. 5</w:t>
      </w:r>
      <w:r w:rsidR="00126E9F" w:rsidRPr="00126E9F" w:rsidDel="00126E9F">
        <w:rPr>
          <w:rFonts w:eastAsia="Times New Roman" w:cs="Times New Roman"/>
          <w:color w:val="000000"/>
        </w:rPr>
        <w:t xml:space="preserve"> </w:t>
      </w:r>
      <w:r w:rsidR="00126E9F">
        <w:rPr>
          <w:rFonts w:eastAsia="Times New Roman" w:cs="Times New Roman"/>
          <w:color w:val="000000"/>
        </w:rPr>
        <w:t>(</w:t>
      </w:r>
      <w:r w:rsidRPr="00BE4144">
        <w:rPr>
          <w:rFonts w:eastAsia="Times New Roman" w:cs="Times New Roman"/>
          <w:color w:val="000000"/>
        </w:rPr>
        <w:t>2003)</w:t>
      </w:r>
      <w:r w:rsidR="00126E9F">
        <w:rPr>
          <w:rFonts w:eastAsia="Times New Roman" w:cs="Times New Roman"/>
          <w:color w:val="000000"/>
        </w:rPr>
        <w:t>.</w:t>
      </w:r>
    </w:p>
  </w:footnote>
  <w:footnote w:id="50">
    <w:p w14:paraId="1A033460" w14:textId="3C0F0C5F" w:rsidR="0040573D" w:rsidRPr="00BE4144" w:rsidRDefault="0040573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75911" w:rsidRPr="00BE4144">
        <w:rPr>
          <w:rFonts w:cs="Times New Roman"/>
        </w:rPr>
        <w:t xml:space="preserve">Coglianese &amp; Mendelson, </w:t>
      </w:r>
      <w:r w:rsidR="00075911" w:rsidRPr="00BE4144">
        <w:rPr>
          <w:rFonts w:cs="Times New Roman"/>
          <w:i/>
          <w:iCs/>
        </w:rPr>
        <w:t xml:space="preserve">supra </w:t>
      </w:r>
      <w:r w:rsidR="00075911" w:rsidRPr="00BE4144">
        <w:rPr>
          <w:rFonts w:cs="Times New Roman"/>
        </w:rPr>
        <w:t xml:space="preserve">note </w:t>
      </w:r>
      <w:r w:rsidR="00075911">
        <w:rPr>
          <w:rFonts w:cs="Times New Roman"/>
        </w:rPr>
        <w:fldChar w:fldCharType="begin"/>
      </w:r>
      <w:r w:rsidR="00075911">
        <w:rPr>
          <w:rFonts w:cs="Times New Roman"/>
        </w:rPr>
        <w:instrText xml:space="preserve"> NOTEREF _Ref142240148 \h </w:instrText>
      </w:r>
      <w:r w:rsidR="00075911">
        <w:rPr>
          <w:rFonts w:cs="Times New Roman"/>
        </w:rPr>
      </w:r>
      <w:r w:rsidR="00075911">
        <w:rPr>
          <w:rFonts w:cs="Times New Roman"/>
        </w:rPr>
        <w:fldChar w:fldCharType="separate"/>
      </w:r>
      <w:r w:rsidR="00075911">
        <w:rPr>
          <w:rFonts w:cs="Times New Roman"/>
        </w:rPr>
        <w:t>8</w:t>
      </w:r>
      <w:r w:rsidR="00075911">
        <w:rPr>
          <w:rFonts w:cs="Times New Roman"/>
        </w:rPr>
        <w:fldChar w:fldCharType="end"/>
      </w:r>
      <w:r w:rsidR="00075911">
        <w:rPr>
          <w:rFonts w:cs="Times New Roman"/>
        </w:rPr>
        <w:t>.</w:t>
      </w:r>
      <w:r w:rsidR="00075911" w:rsidRPr="00BE4144" w:rsidDel="00126E9F">
        <w:rPr>
          <w:rFonts w:eastAsia="Times New Roman" w:cs="Times New Roman"/>
          <w:color w:val="000000"/>
        </w:rPr>
        <w:t xml:space="preserve"> </w:t>
      </w:r>
    </w:p>
  </w:footnote>
  <w:footnote w:id="51">
    <w:p w14:paraId="5426AD64" w14:textId="285A6038" w:rsidR="0040573D" w:rsidRPr="00BE4144" w:rsidRDefault="0040573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B453EE">
        <w:rPr>
          <w:rFonts w:eastAsia="Times New Roman" w:cs="Times New Roman"/>
          <w:color w:val="000000"/>
        </w:rPr>
        <w:t xml:space="preserve">Shanti </w:t>
      </w:r>
      <w:r w:rsidRPr="00BE4144">
        <w:rPr>
          <w:rFonts w:eastAsia="Times New Roman" w:cs="Times New Roman"/>
          <w:color w:val="000000"/>
        </w:rPr>
        <w:t xml:space="preserve">Gamper-Rabindran &amp; </w:t>
      </w:r>
      <w:r w:rsidR="00B453EE">
        <w:rPr>
          <w:rFonts w:eastAsia="Times New Roman" w:cs="Times New Roman"/>
          <w:color w:val="000000"/>
        </w:rPr>
        <w:t xml:space="preserve">Stephene R. </w:t>
      </w:r>
      <w:r w:rsidRPr="00BE4144">
        <w:rPr>
          <w:rFonts w:eastAsia="Times New Roman" w:cs="Times New Roman"/>
          <w:color w:val="000000"/>
        </w:rPr>
        <w:t>Finger</w:t>
      </w:r>
      <w:r w:rsidR="00B453EE">
        <w:rPr>
          <w:rFonts w:eastAsia="Times New Roman" w:cs="Times New Roman"/>
          <w:color w:val="000000"/>
        </w:rPr>
        <w:t xml:space="preserve">, </w:t>
      </w:r>
      <w:r w:rsidR="00B453EE" w:rsidRPr="00403D85">
        <w:rPr>
          <w:rFonts w:eastAsia="Times New Roman" w:cs="Times New Roman"/>
          <w:i/>
          <w:iCs/>
          <w:color w:val="000000"/>
        </w:rPr>
        <w:t>Does Industry Self-Regulation Reduce Pollution? Responsible Care in the Chemical Industry</w:t>
      </w:r>
      <w:r w:rsidR="00B453EE">
        <w:rPr>
          <w:rFonts w:eastAsia="Times New Roman" w:cs="Times New Roman"/>
          <w:color w:val="000000"/>
        </w:rPr>
        <w:t xml:space="preserve">, 43 J. </w:t>
      </w:r>
      <w:proofErr w:type="spellStart"/>
      <w:r w:rsidR="00B453EE">
        <w:rPr>
          <w:rFonts w:eastAsia="Times New Roman" w:cs="Times New Roman"/>
          <w:color w:val="000000"/>
        </w:rPr>
        <w:t>Regul</w:t>
      </w:r>
      <w:proofErr w:type="spellEnd"/>
      <w:r w:rsidR="00B453EE">
        <w:rPr>
          <w:rFonts w:eastAsia="Times New Roman" w:cs="Times New Roman"/>
          <w:color w:val="000000"/>
        </w:rPr>
        <w:t>. Econ. 1</w:t>
      </w:r>
      <w:r w:rsidR="00B453EE" w:rsidRPr="00BE4144">
        <w:rPr>
          <w:rFonts w:eastAsia="Times New Roman" w:cs="Times New Roman"/>
          <w:color w:val="000000"/>
        </w:rPr>
        <w:t xml:space="preserve"> </w:t>
      </w:r>
      <w:r w:rsidR="00B453EE">
        <w:rPr>
          <w:rFonts w:eastAsia="Times New Roman" w:cs="Times New Roman"/>
          <w:color w:val="000000"/>
        </w:rPr>
        <w:t>(</w:t>
      </w:r>
      <w:r w:rsidRPr="00BE4144">
        <w:rPr>
          <w:rFonts w:eastAsia="Times New Roman" w:cs="Times New Roman"/>
          <w:color w:val="000000"/>
        </w:rPr>
        <w:t>2013).</w:t>
      </w:r>
    </w:p>
  </w:footnote>
  <w:footnote w:id="52">
    <w:p w14:paraId="0C41C801" w14:textId="2E2A17AA" w:rsidR="0040573D" w:rsidRPr="00BE4144" w:rsidRDefault="0040573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75911" w:rsidRPr="00BE4144">
        <w:rPr>
          <w:rFonts w:cs="Times New Roman"/>
        </w:rPr>
        <w:t xml:space="preserve">King &amp; Lenox, </w:t>
      </w:r>
      <w:r w:rsidR="00075911" w:rsidRPr="00BE4144">
        <w:rPr>
          <w:rFonts w:cs="Times New Roman"/>
          <w:i/>
          <w:iCs/>
        </w:rPr>
        <w:t xml:space="preserve">supra </w:t>
      </w:r>
      <w:r w:rsidR="00075911" w:rsidRPr="00BE4144">
        <w:rPr>
          <w:rFonts w:cs="Times New Roman"/>
        </w:rPr>
        <w:t xml:space="preserve">note </w:t>
      </w:r>
      <w:r w:rsidR="00075911">
        <w:rPr>
          <w:rFonts w:cs="Times New Roman"/>
        </w:rPr>
        <w:t>7</w:t>
      </w:r>
      <w:r w:rsidR="00075911" w:rsidRPr="00BE4144">
        <w:rPr>
          <w:rFonts w:cs="Times New Roman"/>
        </w:rPr>
        <w:t xml:space="preserve">, at </w:t>
      </w:r>
      <w:r w:rsidR="00EE77D7">
        <w:rPr>
          <w:rFonts w:eastAsia="Times New Roman" w:cs="Times New Roman"/>
          <w:color w:val="000000"/>
        </w:rPr>
        <w:t xml:space="preserve">700-01; </w:t>
      </w:r>
      <w:r w:rsidR="00EE77D7" w:rsidRPr="00BE4144">
        <w:rPr>
          <w:rFonts w:eastAsia="Times New Roman" w:cs="Times New Roman"/>
          <w:color w:val="000000"/>
        </w:rPr>
        <w:t>Short &amp; Toffel 2010</w:t>
      </w:r>
    </w:p>
  </w:footnote>
  <w:footnote w:id="53">
    <w:p w14:paraId="1861F349" w14:textId="1FDAAE00" w:rsidR="0040573D" w:rsidRPr="00BE4144" w:rsidRDefault="0040573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75911" w:rsidRPr="00BE4144">
        <w:rPr>
          <w:rFonts w:cs="Times New Roman"/>
        </w:rPr>
        <w:t xml:space="preserve">King &amp; Lenox, </w:t>
      </w:r>
      <w:r w:rsidR="00075911" w:rsidRPr="00BE4144">
        <w:rPr>
          <w:rFonts w:cs="Times New Roman"/>
          <w:i/>
          <w:iCs/>
        </w:rPr>
        <w:t xml:space="preserve">supra </w:t>
      </w:r>
      <w:r w:rsidR="00075911" w:rsidRPr="00BE4144">
        <w:rPr>
          <w:rFonts w:cs="Times New Roman"/>
        </w:rPr>
        <w:t xml:space="preserve">note </w:t>
      </w:r>
      <w:r w:rsidR="00075911">
        <w:rPr>
          <w:rFonts w:cs="Times New Roman"/>
        </w:rPr>
        <w:t>7</w:t>
      </w:r>
      <w:r w:rsidR="00075911" w:rsidRPr="00BE4144">
        <w:rPr>
          <w:rFonts w:cs="Times New Roman"/>
        </w:rPr>
        <w:t xml:space="preserve">, at </w:t>
      </w:r>
      <w:r w:rsidR="00EE77D7">
        <w:rPr>
          <w:rFonts w:eastAsia="Times New Roman" w:cs="Times New Roman"/>
          <w:color w:val="000000"/>
        </w:rPr>
        <w:t>701</w:t>
      </w:r>
      <w:r w:rsidR="00EE77D7" w:rsidRPr="00EE77D7">
        <w:rPr>
          <w:rFonts w:eastAsia="Times New Roman" w:cs="Times New Roman"/>
          <w:color w:val="000000"/>
        </w:rPr>
        <w:t xml:space="preserve"> (2000</w:t>
      </w:r>
      <w:r w:rsidR="00EE77D7">
        <w:rPr>
          <w:rFonts w:eastAsia="Times New Roman" w:cs="Times New Roman"/>
          <w:color w:val="000000"/>
        </w:rPr>
        <w:t>).</w:t>
      </w:r>
    </w:p>
  </w:footnote>
  <w:footnote w:id="54">
    <w:p w14:paraId="7E704780" w14:textId="0BB45B21" w:rsidR="00E83E83" w:rsidRPr="00BE4144" w:rsidRDefault="00E83E83"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(Short &amp; Toffel 2010, 366).</w:t>
      </w:r>
    </w:p>
  </w:footnote>
  <w:footnote w:id="55">
    <w:p w14:paraId="4FACBA27" w14:textId="77777777" w:rsidR="00EB2CC9" w:rsidRPr="00BE4144" w:rsidRDefault="00EB2CC9" w:rsidP="00EB2CC9">
      <w:pPr>
        <w:pStyle w:val="FootnoteText"/>
        <w:jc w:val="both"/>
        <w:rPr>
          <w:rFonts w:cs="Times New Roman"/>
        </w:rPr>
      </w:pPr>
      <w:r w:rsidRPr="00BE4144">
        <w:rPr>
          <w:rStyle w:val="FootnoteReference"/>
          <w:rFonts w:cs="Times New Roman"/>
        </w:rPr>
        <w:footnoteRef/>
      </w:r>
      <w:r w:rsidRPr="00BE4144">
        <w:rPr>
          <w:rFonts w:cs="Times New Roman"/>
        </w:rPr>
        <w:t xml:space="preserve"> Michael J. Lenox &amp; Jennifer Nash, </w:t>
      </w:r>
      <w:r w:rsidRPr="00182A6D">
        <w:rPr>
          <w:rFonts w:cs="Times New Roman"/>
          <w:i/>
          <w:iCs/>
        </w:rPr>
        <w:t>Industry Self-Regulation and Adverse Selection: A Comparison Across Four Trade Association Programs</w:t>
      </w:r>
      <w:r w:rsidRPr="00BE4144">
        <w:rPr>
          <w:rFonts w:cs="Times New Roman"/>
        </w:rPr>
        <w:t xml:space="preserve">, 12 </w:t>
      </w:r>
      <w:r w:rsidRPr="00182A6D">
        <w:rPr>
          <w:rFonts w:cs="Times New Roman"/>
          <w:smallCaps/>
        </w:rPr>
        <w:t>Bus. Strategy &amp; The Env’t</w:t>
      </w:r>
      <w:r w:rsidRPr="00BE4144">
        <w:rPr>
          <w:rFonts w:cs="Times New Roman"/>
        </w:rPr>
        <w:t xml:space="preserve"> 343, 346-</w:t>
      </w:r>
      <w:r>
        <w:rPr>
          <w:rFonts w:cs="Times New Roman"/>
        </w:rPr>
        <w:t>4</w:t>
      </w:r>
      <w:r w:rsidRPr="00BE4144">
        <w:rPr>
          <w:rFonts w:cs="Times New Roman"/>
        </w:rPr>
        <w:t xml:space="preserve">7 (2003); King &amp; Lenox, </w:t>
      </w:r>
      <w:r w:rsidRPr="00BE4144">
        <w:rPr>
          <w:rFonts w:cs="Times New Roman"/>
          <w:i/>
          <w:iCs/>
        </w:rPr>
        <w:t xml:space="preserve">supra </w:t>
      </w:r>
      <w:r w:rsidRPr="00BE4144">
        <w:rPr>
          <w:rFonts w:cs="Times New Roman"/>
        </w:rPr>
        <w:t xml:space="preserve">note </w:t>
      </w:r>
      <w:r>
        <w:rPr>
          <w:rFonts w:cs="Times New Roman"/>
        </w:rPr>
        <w:t>7</w:t>
      </w:r>
      <w:r w:rsidRPr="00BE4144">
        <w:rPr>
          <w:rFonts w:cs="Times New Roman"/>
        </w:rPr>
        <w:t>, at 702.</w:t>
      </w:r>
    </w:p>
  </w:footnote>
  <w:footnote w:id="56">
    <w:p w14:paraId="253F55A1" w14:textId="1A6248E1" w:rsidR="0040573D" w:rsidRPr="00BE4144" w:rsidRDefault="0040573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75911" w:rsidRPr="00BE4144">
        <w:rPr>
          <w:rFonts w:cs="Times New Roman"/>
        </w:rPr>
        <w:t xml:space="preserve">Coglianese &amp; Mendelson, </w:t>
      </w:r>
      <w:r w:rsidR="00075911" w:rsidRPr="00BE4144">
        <w:rPr>
          <w:rFonts w:cs="Times New Roman"/>
          <w:i/>
          <w:iCs/>
        </w:rPr>
        <w:t xml:space="preserve">supra </w:t>
      </w:r>
      <w:r w:rsidR="00075911" w:rsidRPr="00BE4144">
        <w:rPr>
          <w:rFonts w:cs="Times New Roman"/>
        </w:rPr>
        <w:t xml:space="preserve">note </w:t>
      </w:r>
      <w:r w:rsidR="00075911">
        <w:rPr>
          <w:rFonts w:cs="Times New Roman"/>
        </w:rPr>
        <w:fldChar w:fldCharType="begin"/>
      </w:r>
      <w:r w:rsidR="00075911">
        <w:rPr>
          <w:rFonts w:cs="Times New Roman"/>
        </w:rPr>
        <w:instrText xml:space="preserve"> NOTEREF _Ref142240148 \h </w:instrText>
      </w:r>
      <w:r w:rsidR="00075911">
        <w:rPr>
          <w:rFonts w:cs="Times New Roman"/>
        </w:rPr>
      </w:r>
      <w:r w:rsidR="00075911">
        <w:rPr>
          <w:rFonts w:cs="Times New Roman"/>
        </w:rPr>
        <w:fldChar w:fldCharType="separate"/>
      </w:r>
      <w:r w:rsidR="00075911">
        <w:rPr>
          <w:rFonts w:cs="Times New Roman"/>
        </w:rPr>
        <w:t>8</w:t>
      </w:r>
      <w:r w:rsidR="00075911">
        <w:rPr>
          <w:rFonts w:cs="Times New Roman"/>
        </w:rPr>
        <w:fldChar w:fldCharType="end"/>
      </w:r>
      <w:r w:rsidRPr="00BE4144">
        <w:rPr>
          <w:rFonts w:eastAsia="Times New Roman" w:cs="Times New Roman"/>
          <w:color w:val="000000"/>
        </w:rPr>
        <w:t xml:space="preserve">; </w:t>
      </w:r>
      <w:r w:rsidR="00EE77D7">
        <w:rPr>
          <w:rFonts w:eastAsia="Times New Roman" w:cs="Times New Roman"/>
          <w:color w:val="000000"/>
        </w:rPr>
        <w:t xml:space="preserve">Neil </w:t>
      </w:r>
      <w:r w:rsidRPr="00BE4144">
        <w:rPr>
          <w:rFonts w:eastAsia="Times New Roman" w:cs="Times New Roman"/>
          <w:color w:val="000000"/>
        </w:rPr>
        <w:t>Gunningham</w:t>
      </w:r>
      <w:r w:rsidR="00EE77D7">
        <w:rPr>
          <w:rFonts w:eastAsia="Times New Roman" w:cs="Times New Roman"/>
          <w:color w:val="000000"/>
        </w:rPr>
        <w:t xml:space="preserve">, </w:t>
      </w:r>
      <w:r w:rsidR="00EE77D7">
        <w:rPr>
          <w:rFonts w:eastAsia="Times New Roman" w:cs="Times New Roman"/>
          <w:i/>
          <w:iCs/>
          <w:color w:val="000000"/>
        </w:rPr>
        <w:t>Environment, Self-Regulation, and the Chemical Industry: Assessing Responsible Care</w:t>
      </w:r>
      <w:r w:rsidR="00EE77D7">
        <w:rPr>
          <w:rFonts w:eastAsia="Times New Roman" w:cs="Times New Roman"/>
          <w:color w:val="000000"/>
        </w:rPr>
        <w:t xml:space="preserve">, 71 L. &amp; </w:t>
      </w:r>
      <w:proofErr w:type="spellStart"/>
      <w:r w:rsidR="00EE77D7">
        <w:rPr>
          <w:rFonts w:eastAsia="Times New Roman" w:cs="Times New Roman"/>
          <w:color w:val="000000"/>
        </w:rPr>
        <w:t>Pol’y</w:t>
      </w:r>
      <w:proofErr w:type="spellEnd"/>
      <w:r w:rsidR="00EE77D7">
        <w:rPr>
          <w:rFonts w:eastAsia="Times New Roman" w:cs="Times New Roman"/>
          <w:color w:val="000000"/>
        </w:rPr>
        <w:t xml:space="preserve"> 57</w:t>
      </w:r>
      <w:r w:rsidRPr="00BE4144">
        <w:rPr>
          <w:rFonts w:eastAsia="Times New Roman" w:cs="Times New Roman"/>
          <w:color w:val="000000"/>
        </w:rPr>
        <w:t xml:space="preserve"> </w:t>
      </w:r>
      <w:r w:rsidR="00EE77D7">
        <w:rPr>
          <w:rFonts w:eastAsia="Times New Roman" w:cs="Times New Roman"/>
          <w:color w:val="000000"/>
        </w:rPr>
        <w:t>(</w:t>
      </w:r>
      <w:r w:rsidRPr="00BE4144">
        <w:rPr>
          <w:rFonts w:eastAsia="Times New Roman" w:cs="Times New Roman"/>
          <w:color w:val="000000"/>
        </w:rPr>
        <w:t>1995</w:t>
      </w:r>
      <w:r w:rsidR="00EE77D7">
        <w:rPr>
          <w:rFonts w:eastAsia="Times New Roman" w:cs="Times New Roman"/>
          <w:color w:val="000000"/>
        </w:rPr>
        <w:t>)</w:t>
      </w:r>
      <w:r w:rsidRPr="00BE4144">
        <w:rPr>
          <w:rFonts w:eastAsia="Times New Roman" w:cs="Times New Roman"/>
          <w:color w:val="000000"/>
        </w:rPr>
        <w:t xml:space="preserve">; </w:t>
      </w:r>
      <w:r w:rsidR="00EE77D7" w:rsidRPr="00EE77D7">
        <w:rPr>
          <w:rFonts w:eastAsia="Times New Roman" w:cs="Times New Roman"/>
          <w:color w:val="000000"/>
        </w:rPr>
        <w:t>A. King &amp; Michael J. Lenox, Industry Self-Regulation without Sanctions: The Chemical Industry</w:t>
      </w:r>
      <w:r w:rsidR="00DD158D">
        <w:rPr>
          <w:rFonts w:eastAsia="Times New Roman" w:cs="Times New Roman"/>
          <w:color w:val="000000"/>
        </w:rPr>
        <w:t>’</w:t>
      </w:r>
      <w:r w:rsidR="00EE77D7" w:rsidRPr="00EE77D7">
        <w:rPr>
          <w:rFonts w:eastAsia="Times New Roman" w:cs="Times New Roman"/>
          <w:color w:val="000000"/>
        </w:rPr>
        <w:t>s Responsible Care Program, 43 ACAD. OF MGMT. J. 698</w:t>
      </w:r>
      <w:r w:rsidR="00EE77D7">
        <w:rPr>
          <w:rFonts w:eastAsia="Times New Roman" w:cs="Times New Roman"/>
          <w:color w:val="000000"/>
        </w:rPr>
        <w:t>, 701</w:t>
      </w:r>
      <w:r w:rsidR="00EE77D7" w:rsidRPr="00EE77D7">
        <w:rPr>
          <w:rFonts w:eastAsia="Times New Roman" w:cs="Times New Roman"/>
          <w:color w:val="000000"/>
        </w:rPr>
        <w:t xml:space="preserve"> (2000</w:t>
      </w:r>
      <w:r w:rsidR="00EE77D7">
        <w:rPr>
          <w:rFonts w:eastAsia="Times New Roman" w:cs="Times New Roman"/>
          <w:color w:val="000000"/>
        </w:rPr>
        <w:t>).</w:t>
      </w:r>
    </w:p>
  </w:footnote>
  <w:footnote w:id="57">
    <w:p w14:paraId="61CBFF3F" w14:textId="4792AAF7" w:rsidR="0040573D" w:rsidRPr="00BE4144" w:rsidRDefault="0040573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75911" w:rsidRPr="00BE4144">
        <w:rPr>
          <w:rFonts w:cs="Times New Roman"/>
        </w:rPr>
        <w:t xml:space="preserve">Coglianese &amp; Mendelson, </w:t>
      </w:r>
      <w:r w:rsidR="00075911" w:rsidRPr="00BE4144">
        <w:rPr>
          <w:rFonts w:cs="Times New Roman"/>
          <w:i/>
          <w:iCs/>
        </w:rPr>
        <w:t xml:space="preserve">supra </w:t>
      </w:r>
      <w:r w:rsidR="00075911" w:rsidRPr="00BE4144">
        <w:rPr>
          <w:rFonts w:cs="Times New Roman"/>
        </w:rPr>
        <w:t xml:space="preserve">note </w:t>
      </w:r>
      <w:r w:rsidR="00075911">
        <w:rPr>
          <w:rFonts w:cs="Times New Roman"/>
        </w:rPr>
        <w:fldChar w:fldCharType="begin"/>
      </w:r>
      <w:r w:rsidR="00075911">
        <w:rPr>
          <w:rFonts w:cs="Times New Roman"/>
        </w:rPr>
        <w:instrText xml:space="preserve"> NOTEREF _Ref142240148 \h </w:instrText>
      </w:r>
      <w:r w:rsidR="00075911">
        <w:rPr>
          <w:rFonts w:cs="Times New Roman"/>
        </w:rPr>
      </w:r>
      <w:r w:rsidR="00075911">
        <w:rPr>
          <w:rFonts w:cs="Times New Roman"/>
        </w:rPr>
        <w:fldChar w:fldCharType="separate"/>
      </w:r>
      <w:r w:rsidR="00075911">
        <w:rPr>
          <w:rFonts w:cs="Times New Roman"/>
        </w:rPr>
        <w:t>8</w:t>
      </w:r>
      <w:r w:rsidR="00075911">
        <w:rPr>
          <w:rFonts w:cs="Times New Roman"/>
        </w:rPr>
        <w:fldChar w:fldCharType="end"/>
      </w:r>
      <w:r w:rsidR="00075911">
        <w:rPr>
          <w:rFonts w:cs="Times New Roman"/>
        </w:rPr>
        <w:t>.</w:t>
      </w:r>
      <w:r w:rsidR="00075911" w:rsidRPr="00BE4144" w:rsidDel="00126E9F">
        <w:rPr>
          <w:rFonts w:eastAsia="Times New Roman" w:cs="Times New Roman"/>
          <w:color w:val="000000"/>
        </w:rPr>
        <w:t xml:space="preserve"> </w:t>
      </w:r>
    </w:p>
  </w:footnote>
  <w:footnote w:id="58">
    <w:p w14:paraId="54AFBC68" w14:textId="60B5ADA8" w:rsidR="0040573D" w:rsidRPr="00BE4144" w:rsidRDefault="0040573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proofErr w:type="spellStart"/>
      <w:r w:rsidR="00EE77D7" w:rsidRPr="00403D85">
        <w:rPr>
          <w:rFonts w:eastAsia="Times New Roman" w:cs="Times New Roman"/>
          <w:smallCaps/>
          <w:color w:val="000000"/>
        </w:rPr>
        <w:t>Mancur</w:t>
      </w:r>
      <w:proofErr w:type="spellEnd"/>
      <w:r w:rsidR="00EE77D7" w:rsidRPr="00403D85">
        <w:rPr>
          <w:rFonts w:eastAsia="Times New Roman" w:cs="Times New Roman"/>
          <w:smallCaps/>
          <w:color w:val="000000"/>
        </w:rPr>
        <w:t xml:space="preserve"> Olson, The Logic of Collective Action: Public Goods and the Theory of Groups (1965)</w:t>
      </w:r>
    </w:p>
  </w:footnote>
  <w:footnote w:id="59">
    <w:p w14:paraId="59BFAA58" w14:textId="0AABDBD6" w:rsidR="00607FB3" w:rsidRPr="00BE4144" w:rsidRDefault="00607FB3"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DC4950" w:rsidRPr="00BE4144">
        <w:rPr>
          <w:rFonts w:cs="Times New Roman"/>
        </w:rPr>
        <w:t xml:space="preserve">Saule Omarova, </w:t>
      </w:r>
      <w:r w:rsidR="00DC4950" w:rsidRPr="00403D85">
        <w:rPr>
          <w:rFonts w:cs="Times New Roman"/>
          <w:i/>
          <w:iCs/>
        </w:rPr>
        <w:t>Rethinking the Future of Self-Regulation in the Financial Industry</w:t>
      </w:r>
      <w:r w:rsidR="00DC4950" w:rsidRPr="00BE4144">
        <w:rPr>
          <w:rFonts w:cs="Times New Roman"/>
        </w:rPr>
        <w:t>, 35 Brooklyn J. Intl. L. 665, 676-77.</w:t>
      </w:r>
    </w:p>
  </w:footnote>
  <w:footnote w:id="60">
    <w:p w14:paraId="16ED2F32" w14:textId="3EE163F4" w:rsidR="00B14BD5" w:rsidRPr="00BE4144" w:rsidRDefault="00B14BD5"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6C460E" w:rsidRPr="00BE4144">
        <w:rPr>
          <w:rFonts w:cs="Times New Roman"/>
        </w:rPr>
        <w:t xml:space="preserve">James </w:t>
      </w:r>
      <w:r w:rsidR="00BC273E">
        <w:rPr>
          <w:rFonts w:cs="Times New Roman"/>
        </w:rPr>
        <w:t>A.</w:t>
      </w:r>
      <w:r w:rsidR="006C460E" w:rsidRPr="00BE4144">
        <w:rPr>
          <w:rFonts w:cs="Times New Roman"/>
        </w:rPr>
        <w:t xml:space="preserve"> Fanto, </w:t>
      </w:r>
      <w:r w:rsidR="006C460E" w:rsidRPr="00403D85">
        <w:rPr>
          <w:rFonts w:cs="Times New Roman"/>
          <w:i/>
          <w:iCs/>
        </w:rPr>
        <w:t>Financial Regulation Reform: Maintaining the Status Quo</w:t>
      </w:r>
      <w:r w:rsidR="006C460E" w:rsidRPr="00BE4144">
        <w:rPr>
          <w:rFonts w:cs="Times New Roman"/>
        </w:rPr>
        <w:t xml:space="preserve">, </w:t>
      </w:r>
      <w:r w:rsidR="008111D6" w:rsidRPr="00BE4144">
        <w:rPr>
          <w:rFonts w:cs="Times New Roman"/>
        </w:rPr>
        <w:t xml:space="preserve">35 Brooklyn J. Intl. L. 635, </w:t>
      </w:r>
      <w:r w:rsidRPr="00BE4144">
        <w:rPr>
          <w:rFonts w:cs="Times New Roman"/>
        </w:rPr>
        <w:t>651-53</w:t>
      </w:r>
      <w:r w:rsidR="008111D6" w:rsidRPr="00BE4144">
        <w:rPr>
          <w:rFonts w:cs="Times New Roman"/>
        </w:rPr>
        <w:t xml:space="preserve"> (2010)</w:t>
      </w:r>
      <w:r w:rsidRPr="00BE4144">
        <w:rPr>
          <w:rFonts w:cs="Times New Roman"/>
        </w:rPr>
        <w:t xml:space="preserve">. </w:t>
      </w:r>
      <w:r w:rsidR="00B2777C" w:rsidRPr="00BE4144">
        <w:rPr>
          <w:rFonts w:cs="Times New Roman"/>
        </w:rPr>
        <w:t>This Council was ultimately created by the Dodd</w:t>
      </w:r>
      <w:r w:rsidR="00936D76" w:rsidRPr="00BE4144">
        <w:rPr>
          <w:rFonts w:cs="Times New Roman"/>
        </w:rPr>
        <w:t xml:space="preserve"> Frank Act and called the Financial Stability Oversight Council. Financial Stability Oversight Council, U.S. Dept. of the Treasury, </w:t>
      </w:r>
      <w:hyperlink r:id="rId9" w:history="1">
        <w:r w:rsidR="00DD158D" w:rsidRPr="00DD1357">
          <w:rPr>
            <w:rStyle w:val="Hyperlink"/>
            <w:rFonts w:cs="Times New Roman"/>
          </w:rPr>
          <w:t>https://home.treasury.gov/policy-issues/financial-markets-financial-institutions-and-fiscal-service/fsoc</w:t>
        </w:r>
      </w:hyperlink>
      <w:r w:rsidR="00936D76" w:rsidRPr="00BE4144">
        <w:rPr>
          <w:rFonts w:cs="Times New Roman"/>
        </w:rPr>
        <w:t>.</w:t>
      </w:r>
    </w:p>
  </w:footnote>
  <w:footnote w:id="61">
    <w:p w14:paraId="2A5D51BC" w14:textId="2E4B0696" w:rsidR="0040573D" w:rsidRPr="00403D85" w:rsidRDefault="0040573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cs="Times New Roman"/>
        </w:rPr>
        <w:t>(Cohen &amp; Sundararajan 2015)</w:t>
      </w:r>
    </w:p>
  </w:footnote>
  <w:footnote w:id="62">
    <w:p w14:paraId="29B87ABD" w14:textId="3D894259" w:rsidR="0040573D" w:rsidRPr="00BE4144" w:rsidRDefault="0040573D" w:rsidP="00BE4144">
      <w:pPr>
        <w:pStyle w:val="FootnoteText"/>
        <w:jc w:val="both"/>
        <w:rPr>
          <w:rFonts w:cs="Times New Roman"/>
        </w:rPr>
      </w:pPr>
      <w:r w:rsidRPr="00403D85">
        <w:rPr>
          <w:rStyle w:val="FootnoteReference"/>
          <w:rFonts w:cs="Times New Roman"/>
        </w:rPr>
        <w:footnoteRef/>
      </w:r>
      <w:r w:rsidRPr="00403D85">
        <w:rPr>
          <w:rFonts w:cs="Times New Roman"/>
        </w:rPr>
        <w:t xml:space="preserve"> Allen</w:t>
      </w:r>
      <w:r w:rsidR="00B1482F" w:rsidRPr="00403D85">
        <w:rPr>
          <w:rFonts w:cs="Times New Roman"/>
        </w:rPr>
        <w:t xml:space="preserve">, </w:t>
      </w:r>
      <w:r w:rsidR="00B1482F" w:rsidRPr="00403D85">
        <w:rPr>
          <w:rFonts w:cs="Times New Roman"/>
          <w:i/>
          <w:iCs/>
        </w:rPr>
        <w:t xml:space="preserve">supra </w:t>
      </w:r>
      <w:r w:rsidR="00B1482F" w:rsidRPr="00403D85">
        <w:rPr>
          <w:rFonts w:cs="Times New Roman"/>
        </w:rPr>
        <w:t xml:space="preserve">note </w:t>
      </w:r>
      <w:r w:rsidR="00B1482F" w:rsidRPr="00403D85">
        <w:rPr>
          <w:rFonts w:cs="Times New Roman"/>
        </w:rPr>
        <w:fldChar w:fldCharType="begin"/>
      </w:r>
      <w:r w:rsidR="00B1482F" w:rsidRPr="00403D85">
        <w:rPr>
          <w:rFonts w:cs="Times New Roman"/>
        </w:rPr>
        <w:instrText xml:space="preserve"> NOTEREF _Ref142232469 \h </w:instrText>
      </w:r>
      <w:r w:rsidR="00B1482F" w:rsidRPr="00403D85">
        <w:rPr>
          <w:rFonts w:cs="Times New Roman"/>
        </w:rPr>
      </w:r>
      <w:r w:rsidR="00403D85">
        <w:rPr>
          <w:rFonts w:cs="Times New Roman"/>
        </w:rPr>
        <w:instrText xml:space="preserve"> \* MERGEFORMAT </w:instrText>
      </w:r>
      <w:r w:rsidR="00B1482F" w:rsidRPr="00403D85">
        <w:rPr>
          <w:rFonts w:cs="Times New Roman"/>
        </w:rPr>
        <w:fldChar w:fldCharType="separate"/>
      </w:r>
      <w:r w:rsidR="00B1482F" w:rsidRPr="00403D85">
        <w:rPr>
          <w:rFonts w:cs="Times New Roman"/>
        </w:rPr>
        <w:t>12</w:t>
      </w:r>
      <w:r w:rsidR="00B1482F" w:rsidRPr="00403D85">
        <w:rPr>
          <w:rFonts w:cs="Times New Roman"/>
        </w:rPr>
        <w:fldChar w:fldCharType="end"/>
      </w:r>
      <w:r w:rsidR="00B1482F" w:rsidRPr="00403D85">
        <w:rPr>
          <w:rFonts w:cs="Times New Roman"/>
        </w:rPr>
        <w:t>.</w:t>
      </w:r>
    </w:p>
  </w:footnote>
  <w:footnote w:id="63">
    <w:p w14:paraId="46A5A0DE" w14:textId="6771C4E3" w:rsidR="00CD016C" w:rsidRPr="00BC273E" w:rsidRDefault="00CD016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73789E">
        <w:rPr>
          <w:color w:val="000000"/>
        </w:rPr>
        <w:t xml:space="preserve">Baird et al, </w:t>
      </w:r>
      <w:r w:rsidR="0073789E">
        <w:rPr>
          <w:i/>
          <w:iCs/>
          <w:color w:val="000000"/>
        </w:rPr>
        <w:t xml:space="preserve">supra </w:t>
      </w:r>
      <w:r w:rsidR="0073789E">
        <w:rPr>
          <w:color w:val="000000"/>
        </w:rPr>
        <w:t xml:space="preserve">note </w:t>
      </w:r>
      <w:r w:rsidR="0073789E">
        <w:rPr>
          <w:color w:val="000000"/>
        </w:rPr>
        <w:fldChar w:fldCharType="begin"/>
      </w:r>
      <w:r w:rsidR="0073789E">
        <w:rPr>
          <w:color w:val="000000"/>
        </w:rPr>
        <w:instrText xml:space="preserve"> NOTEREF _Ref142230771 \f \h  \* MERGEFORMAT </w:instrText>
      </w:r>
      <w:r w:rsidR="0073789E">
        <w:rPr>
          <w:color w:val="000000"/>
        </w:rPr>
      </w:r>
      <w:r w:rsidR="0073789E">
        <w:rPr>
          <w:color w:val="000000"/>
        </w:rPr>
        <w:fldChar w:fldCharType="separate"/>
      </w:r>
      <w:r w:rsidR="0073789E" w:rsidRPr="00403D85">
        <w:rPr>
          <w:rStyle w:val="FootnoteReference"/>
          <w:vertAlign w:val="baseline"/>
        </w:rPr>
        <w:t>36</w:t>
      </w:r>
      <w:r w:rsidR="0073789E">
        <w:rPr>
          <w:color w:val="000000"/>
        </w:rPr>
        <w:fldChar w:fldCharType="end"/>
      </w:r>
      <w:r w:rsidRPr="00BE4144">
        <w:rPr>
          <w:rFonts w:eastAsia="Times New Roman" w:cs="Times New Roman"/>
          <w:color w:val="000000"/>
        </w:rPr>
        <w:t xml:space="preserve">; </w:t>
      </w:r>
      <w:r w:rsidR="00BC273E" w:rsidRPr="00BC273E">
        <w:rPr>
          <w:rFonts w:eastAsia="Times New Roman" w:cs="Times New Roman"/>
          <w:color w:val="000000"/>
        </w:rPr>
        <w:t xml:space="preserve">James Bowe </w:t>
      </w:r>
      <w:r w:rsidR="00BC273E">
        <w:rPr>
          <w:rFonts w:eastAsia="Times New Roman" w:cs="Times New Roman"/>
          <w:color w:val="000000"/>
        </w:rPr>
        <w:t>&amp;</w:t>
      </w:r>
      <w:r w:rsidR="00BC273E" w:rsidRPr="00BC273E">
        <w:rPr>
          <w:rFonts w:eastAsia="Times New Roman" w:cs="Times New Roman"/>
          <w:color w:val="000000"/>
        </w:rPr>
        <w:t xml:space="preserve"> William Rice</w:t>
      </w:r>
      <w:r w:rsidR="00BC273E">
        <w:rPr>
          <w:rFonts w:eastAsia="Times New Roman" w:cs="Times New Roman"/>
          <w:color w:val="000000"/>
        </w:rPr>
        <w:t xml:space="preserve">, </w:t>
      </w:r>
      <w:r w:rsidR="00BC273E" w:rsidRPr="00403D85">
        <w:rPr>
          <w:rFonts w:eastAsia="Times New Roman" w:cs="Times New Roman"/>
          <w:i/>
          <w:iCs/>
          <w:color w:val="000000"/>
        </w:rPr>
        <w:t>Building The Hydrogen Sector Will Require New Laws, Regs</w:t>
      </w:r>
      <w:r w:rsidR="0073789E">
        <w:rPr>
          <w:rFonts w:eastAsia="Times New Roman" w:cs="Times New Roman"/>
          <w:i/>
          <w:iCs/>
          <w:color w:val="000000"/>
        </w:rPr>
        <w:t xml:space="preserve"> </w:t>
      </w:r>
      <w:r w:rsidRPr="00403D85">
        <w:rPr>
          <w:rFonts w:eastAsia="Times New Roman" w:cs="Times New Roman"/>
          <w:i/>
          <w:iCs/>
          <w:color w:val="000000"/>
        </w:rPr>
        <w:t>2021</w:t>
      </w:r>
      <w:r w:rsidR="00BC273E">
        <w:rPr>
          <w:rFonts w:eastAsia="Times New Roman" w:cs="Times New Roman"/>
          <w:color w:val="000000"/>
        </w:rPr>
        <w:t xml:space="preserve">, </w:t>
      </w:r>
      <w:r w:rsidR="00BC273E" w:rsidRPr="00403D85">
        <w:rPr>
          <w:rFonts w:eastAsia="Times New Roman" w:cs="Times New Roman"/>
          <w:smallCaps/>
          <w:color w:val="000000"/>
        </w:rPr>
        <w:t>King &amp; Spalding</w:t>
      </w:r>
      <w:r w:rsidR="00BC273E">
        <w:rPr>
          <w:rFonts w:eastAsia="Times New Roman" w:cs="Times New Roman"/>
          <w:color w:val="000000"/>
        </w:rPr>
        <w:t xml:space="preserve"> (Feb. 5, 2021), </w:t>
      </w:r>
      <w:hyperlink r:id="rId10" w:history="1">
        <w:r w:rsidR="00BC273E" w:rsidRPr="00DD1357">
          <w:rPr>
            <w:rStyle w:val="Hyperlink"/>
            <w:rFonts w:eastAsia="Times New Roman" w:cs="Times New Roman"/>
          </w:rPr>
          <w:t>https://www.kslaw.com/blog-posts/building-the-hydrogen-sector-will-require-new-laws-regs-2</w:t>
        </w:r>
      </w:hyperlink>
      <w:r w:rsidR="00BC273E">
        <w:rPr>
          <w:rFonts w:eastAsia="Times New Roman" w:cs="Times New Roman"/>
          <w:color w:val="000000"/>
        </w:rPr>
        <w:t xml:space="preserve">; M.E. Peloso &amp; Damien Lyster, </w:t>
      </w:r>
      <w:r w:rsidR="00BC273E" w:rsidRPr="00403D85">
        <w:rPr>
          <w:rFonts w:eastAsia="Times New Roman" w:cs="Times New Roman"/>
          <w:i/>
          <w:iCs/>
          <w:color w:val="222222"/>
          <w:szCs w:val="24"/>
        </w:rPr>
        <w:t>Federal Hydrogen Regulation in the United States: Where We Are and Where We Might be Going</w:t>
      </w:r>
      <w:r w:rsidR="00BC273E">
        <w:rPr>
          <w:rFonts w:eastAsia="Times New Roman" w:cs="Times New Roman"/>
          <w:color w:val="222222"/>
          <w:szCs w:val="24"/>
        </w:rPr>
        <w:t xml:space="preserve">, </w:t>
      </w:r>
      <w:r w:rsidR="00BC273E">
        <w:rPr>
          <w:rFonts w:eastAsia="Times New Roman" w:cs="Times New Roman"/>
          <w:smallCaps/>
          <w:color w:val="000000"/>
        </w:rPr>
        <w:t>Vinson</w:t>
      </w:r>
      <w:r w:rsidR="00BC273E" w:rsidRPr="00190F2A">
        <w:rPr>
          <w:rFonts w:eastAsia="Times New Roman" w:cs="Times New Roman"/>
          <w:smallCaps/>
          <w:color w:val="000000"/>
        </w:rPr>
        <w:t xml:space="preserve"> &amp; </w:t>
      </w:r>
      <w:r w:rsidR="00BC273E">
        <w:rPr>
          <w:rFonts w:eastAsia="Times New Roman" w:cs="Times New Roman"/>
          <w:smallCaps/>
          <w:color w:val="000000"/>
        </w:rPr>
        <w:t xml:space="preserve">Elkins </w:t>
      </w:r>
      <w:r w:rsidR="00BC273E">
        <w:rPr>
          <w:rFonts w:eastAsia="Times New Roman" w:cs="Times New Roman"/>
          <w:color w:val="000000"/>
        </w:rPr>
        <w:t xml:space="preserve">(Dec. 10, 2020), </w:t>
      </w:r>
      <w:hyperlink r:id="rId11" w:history="1">
        <w:r w:rsidR="00BC273E" w:rsidRPr="00DD1357">
          <w:rPr>
            <w:rStyle w:val="Hyperlink"/>
            <w:rFonts w:eastAsia="Times New Roman" w:cs="Times New Roman"/>
            <w:szCs w:val="24"/>
          </w:rPr>
          <w:t>https://www.velaw.com/insights/federal-hydrogen-regulation-in-the-united-states-where-we-are-and-where-we-might-be-going/</w:t>
        </w:r>
      </w:hyperlink>
      <w:r w:rsidR="00BC273E" w:rsidRPr="00EC79E0">
        <w:rPr>
          <w:rFonts w:eastAsia="Times New Roman" w:cs="Times New Roman"/>
          <w:color w:val="222222"/>
          <w:szCs w:val="24"/>
        </w:rPr>
        <w:t>.</w:t>
      </w:r>
      <w:r w:rsidR="00BC273E">
        <w:rPr>
          <w:rFonts w:eastAsia="Times New Roman" w:cs="Times New Roman"/>
          <w:color w:val="222222"/>
          <w:szCs w:val="24"/>
        </w:rPr>
        <w:t xml:space="preserve"> </w:t>
      </w:r>
    </w:p>
  </w:footnote>
  <w:footnote w:id="64">
    <w:p w14:paraId="6F271CA9" w14:textId="0441AE49" w:rsidR="001843AB" w:rsidRPr="00BE4144" w:rsidRDefault="001843AB"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73789E">
        <w:rPr>
          <w:color w:val="000000"/>
        </w:rPr>
        <w:t xml:space="preserve">Baird et al, </w:t>
      </w:r>
      <w:r w:rsidR="0073789E">
        <w:rPr>
          <w:i/>
          <w:iCs/>
          <w:color w:val="000000"/>
        </w:rPr>
        <w:t xml:space="preserve">supra </w:t>
      </w:r>
      <w:r w:rsidR="0073789E">
        <w:rPr>
          <w:color w:val="000000"/>
        </w:rPr>
        <w:t xml:space="preserve">note </w:t>
      </w:r>
      <w:r w:rsidR="0073789E">
        <w:rPr>
          <w:color w:val="000000"/>
        </w:rPr>
        <w:fldChar w:fldCharType="begin"/>
      </w:r>
      <w:r w:rsidR="0073789E">
        <w:rPr>
          <w:color w:val="000000"/>
        </w:rPr>
        <w:instrText xml:space="preserve"> NOTEREF _Ref142230771 \f \h  \* MERGEFORMAT </w:instrText>
      </w:r>
      <w:r w:rsidR="0073789E">
        <w:rPr>
          <w:color w:val="000000"/>
        </w:rPr>
      </w:r>
      <w:r w:rsidR="0073789E">
        <w:rPr>
          <w:color w:val="000000"/>
        </w:rPr>
        <w:fldChar w:fldCharType="separate"/>
      </w:r>
      <w:r w:rsidR="0073789E" w:rsidRPr="00190F2A">
        <w:rPr>
          <w:rStyle w:val="FootnoteReference"/>
          <w:vertAlign w:val="baseline"/>
        </w:rPr>
        <w:t>36</w:t>
      </w:r>
      <w:r w:rsidR="0073789E">
        <w:rPr>
          <w:color w:val="000000"/>
        </w:rPr>
        <w:fldChar w:fldCharType="end"/>
      </w:r>
      <w:r w:rsidR="00BC273E">
        <w:rPr>
          <w:rFonts w:eastAsia="Times New Roman" w:cs="Times New Roman"/>
          <w:color w:val="000000"/>
        </w:rPr>
        <w:t>;</w:t>
      </w:r>
      <w:r w:rsidRPr="00BE4144">
        <w:rPr>
          <w:rFonts w:eastAsia="Times New Roman" w:cs="Times New Roman"/>
          <w:color w:val="000000"/>
        </w:rPr>
        <w:t xml:space="preserve"> </w:t>
      </w:r>
      <w:r w:rsidR="0073789E" w:rsidRPr="00403D85">
        <w:rPr>
          <w:rFonts w:eastAsia="Times New Roman" w:cs="Times New Roman"/>
          <w:smallCaps/>
          <w:color w:val="000000"/>
        </w:rPr>
        <w:t xml:space="preserve">C. Rivkin, R. Burgess &amp; W. Buttner, </w:t>
      </w:r>
      <w:proofErr w:type="spellStart"/>
      <w:r w:rsidR="0073789E" w:rsidRPr="00403D85">
        <w:rPr>
          <w:rFonts w:eastAsia="Times New Roman" w:cs="Times New Roman"/>
          <w:smallCaps/>
          <w:color w:val="000000"/>
        </w:rPr>
        <w:t>Nat’l</w:t>
      </w:r>
      <w:proofErr w:type="spellEnd"/>
      <w:r w:rsidR="0073789E" w:rsidRPr="00403D85">
        <w:rPr>
          <w:rFonts w:eastAsia="Times New Roman" w:cs="Times New Roman"/>
          <w:smallCaps/>
          <w:color w:val="000000"/>
        </w:rPr>
        <w:t xml:space="preserve"> Renewable Energy Lab, </w:t>
      </w:r>
      <w:r w:rsidR="0073789E" w:rsidRPr="00403D85">
        <w:rPr>
          <w:rFonts w:eastAsia="Times New Roman" w:cs="Times New Roman"/>
          <w:smallCaps/>
          <w:color w:val="222222"/>
          <w:szCs w:val="24"/>
          <w:shd w:val="clear" w:color="auto" w:fill="FFFFFF"/>
        </w:rPr>
        <w:t>Hydrogen Technologies Safety Guide</w:t>
      </w:r>
      <w:r w:rsidR="0073789E" w:rsidRPr="00BE4144" w:rsidDel="0073789E">
        <w:rPr>
          <w:rFonts w:eastAsia="Times New Roman" w:cs="Times New Roman"/>
          <w:color w:val="000000"/>
        </w:rPr>
        <w:t xml:space="preserve"> </w:t>
      </w:r>
      <w:r w:rsidR="0073789E">
        <w:rPr>
          <w:rFonts w:eastAsia="Times New Roman" w:cs="Times New Roman"/>
          <w:color w:val="000000"/>
        </w:rPr>
        <w:t>(</w:t>
      </w:r>
      <w:r w:rsidRPr="00BE4144">
        <w:rPr>
          <w:rFonts w:eastAsia="Times New Roman" w:cs="Times New Roman"/>
          <w:color w:val="000000"/>
        </w:rPr>
        <w:t>2015</w:t>
      </w:r>
      <w:r w:rsidR="0073789E">
        <w:rPr>
          <w:rFonts w:eastAsia="Times New Roman" w:cs="Times New Roman"/>
          <w:color w:val="000000"/>
        </w:rPr>
        <w:t>)</w:t>
      </w:r>
      <w:r w:rsidRPr="00BE4144">
        <w:rPr>
          <w:rFonts w:eastAsia="Times New Roman" w:cs="Times New Roman"/>
          <w:color w:val="000000"/>
        </w:rPr>
        <w:t xml:space="preserve">; </w:t>
      </w:r>
      <w:r w:rsidR="0073789E" w:rsidRPr="00403D85">
        <w:rPr>
          <w:rFonts w:eastAsia="Times New Roman" w:cs="Times New Roman"/>
          <w:smallCaps/>
          <w:color w:val="000000"/>
        </w:rPr>
        <w:t xml:space="preserve">J.L. </w:t>
      </w:r>
      <w:r w:rsidRPr="00403D85">
        <w:rPr>
          <w:rFonts w:eastAsia="Times New Roman" w:cs="Times New Roman"/>
          <w:smallCaps/>
          <w:color w:val="000000"/>
        </w:rPr>
        <w:t xml:space="preserve">Gillette &amp; </w:t>
      </w:r>
      <w:r w:rsidR="00255D63" w:rsidRPr="00403D85">
        <w:rPr>
          <w:rFonts w:eastAsia="Times New Roman" w:cs="Times New Roman"/>
          <w:smallCaps/>
          <w:color w:val="000000"/>
        </w:rPr>
        <w:t xml:space="preserve">R.L </w:t>
      </w:r>
      <w:proofErr w:type="spellStart"/>
      <w:r w:rsidRPr="00403D85">
        <w:rPr>
          <w:rFonts w:eastAsia="Times New Roman" w:cs="Times New Roman"/>
          <w:smallCaps/>
          <w:color w:val="000000"/>
        </w:rPr>
        <w:t>Kolpa</w:t>
      </w:r>
      <w:proofErr w:type="spellEnd"/>
      <w:r w:rsidR="00255D63" w:rsidRPr="00403D85">
        <w:rPr>
          <w:rFonts w:eastAsia="Times New Roman" w:cs="Times New Roman"/>
          <w:smallCaps/>
          <w:color w:val="000000"/>
        </w:rPr>
        <w:t xml:space="preserve">, Argonne National Laboratory, </w:t>
      </w:r>
      <w:r w:rsidR="00255D63" w:rsidRPr="00403D85">
        <w:rPr>
          <w:smallCaps/>
        </w:rPr>
        <w:t>Overview of Interstate Hydrogen Pipeline Systems</w:t>
      </w:r>
      <w:r w:rsidRPr="00BE4144">
        <w:rPr>
          <w:rFonts w:eastAsia="Times New Roman" w:cs="Times New Roman"/>
          <w:color w:val="000000"/>
        </w:rPr>
        <w:t xml:space="preserve"> </w:t>
      </w:r>
      <w:r w:rsidR="00255D63">
        <w:rPr>
          <w:rFonts w:eastAsia="Times New Roman" w:cs="Times New Roman"/>
          <w:color w:val="000000"/>
        </w:rPr>
        <w:t>(</w:t>
      </w:r>
      <w:r w:rsidRPr="00BE4144">
        <w:rPr>
          <w:rFonts w:eastAsia="Times New Roman" w:cs="Times New Roman"/>
          <w:color w:val="000000"/>
        </w:rPr>
        <w:t>2007)</w:t>
      </w:r>
      <w:r w:rsidR="005E0672" w:rsidRPr="00BE4144">
        <w:rPr>
          <w:rFonts w:eastAsia="Times New Roman" w:cs="Times New Roman"/>
          <w:color w:val="000000"/>
        </w:rPr>
        <w:t>.</w:t>
      </w:r>
    </w:p>
  </w:footnote>
  <w:footnote w:id="65">
    <w:p w14:paraId="13CDE72D" w14:textId="1B0308D2" w:rsidR="007A01C2" w:rsidRPr="00BE4144" w:rsidRDefault="007A01C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255D63" w:rsidRPr="00403D85">
        <w:rPr>
          <w:rFonts w:eastAsia="Times New Roman" w:cs="Times New Roman"/>
          <w:smallCaps/>
          <w:color w:val="000000"/>
          <w:szCs w:val="24"/>
        </w:rPr>
        <w:t>ASTM International, Cannabis Standards and Services</w:t>
      </w:r>
      <w:r w:rsidR="00255D63">
        <w:rPr>
          <w:rFonts w:eastAsia="Times New Roman" w:cs="Times New Roman"/>
          <w:color w:val="000000"/>
          <w:szCs w:val="24"/>
        </w:rPr>
        <w:t xml:space="preserve"> (2022).</w:t>
      </w:r>
    </w:p>
  </w:footnote>
  <w:footnote w:id="66">
    <w:p w14:paraId="7F5ADFE1" w14:textId="4BA8010A" w:rsidR="005E0672" w:rsidRPr="00BE4144" w:rsidRDefault="005E067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eastAsia="Times New Roman" w:cs="Times New Roman"/>
          <w:smallCaps/>
          <w:color w:val="000000"/>
        </w:rPr>
        <w:t>American Petroleum Institute</w:t>
      </w:r>
      <w:r w:rsidR="00255D63" w:rsidRPr="00403D85">
        <w:rPr>
          <w:rFonts w:eastAsia="Times New Roman" w:cs="Times New Roman"/>
          <w:smallCaps/>
          <w:color w:val="000000"/>
        </w:rPr>
        <w:t>, American Petroleum Institute Standards</w:t>
      </w:r>
      <w:r w:rsidRPr="00BE4144">
        <w:rPr>
          <w:rFonts w:eastAsia="Times New Roman" w:cs="Times New Roman"/>
          <w:color w:val="000000"/>
        </w:rPr>
        <w:t xml:space="preserve"> </w:t>
      </w:r>
      <w:r w:rsidR="00255D63">
        <w:rPr>
          <w:rFonts w:eastAsia="Times New Roman" w:cs="Times New Roman"/>
          <w:color w:val="000000"/>
        </w:rPr>
        <w:t>(</w:t>
      </w:r>
      <w:r w:rsidRPr="00BE4144">
        <w:rPr>
          <w:rFonts w:eastAsia="Times New Roman" w:cs="Times New Roman"/>
          <w:color w:val="000000"/>
        </w:rPr>
        <w:t>2022</w:t>
      </w:r>
      <w:r w:rsidR="00255D63">
        <w:rPr>
          <w:rFonts w:eastAsia="Times New Roman" w:cs="Times New Roman"/>
          <w:color w:val="000000"/>
        </w:rPr>
        <w:t>)</w:t>
      </w:r>
      <w:r w:rsidRPr="00BE4144">
        <w:rPr>
          <w:rFonts w:eastAsia="Times New Roman" w:cs="Times New Roman"/>
          <w:color w:val="000000"/>
        </w:rPr>
        <w:t>; Coglianese &amp; Mendelson</w:t>
      </w:r>
      <w:r w:rsidR="00255D63">
        <w:rPr>
          <w:rFonts w:eastAsia="Times New Roman" w:cs="Times New Roman"/>
          <w:color w:val="000000"/>
        </w:rPr>
        <w:t xml:space="preserve">, </w:t>
      </w:r>
      <w:r w:rsidR="00255D63">
        <w:rPr>
          <w:rFonts w:eastAsia="Times New Roman" w:cs="Times New Roman"/>
          <w:i/>
          <w:iCs/>
          <w:color w:val="000000"/>
        </w:rPr>
        <w:t xml:space="preserve">supra </w:t>
      </w:r>
      <w:r w:rsidR="00255D63">
        <w:rPr>
          <w:rFonts w:eastAsia="Times New Roman" w:cs="Times New Roman"/>
          <w:color w:val="000000"/>
        </w:rPr>
        <w:t xml:space="preserve">note </w:t>
      </w:r>
      <w:r w:rsidR="00255D63">
        <w:rPr>
          <w:rFonts w:eastAsia="Times New Roman" w:cs="Times New Roman"/>
          <w:color w:val="000000"/>
        </w:rPr>
        <w:fldChar w:fldCharType="begin"/>
      </w:r>
      <w:r w:rsidR="00255D63">
        <w:rPr>
          <w:rFonts w:eastAsia="Times New Roman" w:cs="Times New Roman"/>
          <w:color w:val="000000"/>
        </w:rPr>
        <w:instrText xml:space="preserve"> NOTEREF _Ref142231432 \h </w:instrText>
      </w:r>
      <w:r w:rsidR="00255D63">
        <w:rPr>
          <w:rFonts w:eastAsia="Times New Roman" w:cs="Times New Roman"/>
          <w:color w:val="000000"/>
        </w:rPr>
      </w:r>
      <w:r w:rsidR="00255D63">
        <w:rPr>
          <w:rFonts w:eastAsia="Times New Roman" w:cs="Times New Roman"/>
          <w:color w:val="000000"/>
        </w:rPr>
        <w:fldChar w:fldCharType="separate"/>
      </w:r>
      <w:r w:rsidR="00255D63">
        <w:rPr>
          <w:rFonts w:eastAsia="Times New Roman" w:cs="Times New Roman"/>
          <w:color w:val="000000"/>
        </w:rPr>
        <w:t>30</w:t>
      </w:r>
      <w:r w:rsidR="00255D63">
        <w:rPr>
          <w:rFonts w:eastAsia="Times New Roman" w:cs="Times New Roman"/>
          <w:color w:val="000000"/>
        </w:rPr>
        <w:fldChar w:fldCharType="end"/>
      </w:r>
      <w:r w:rsidR="00255D63">
        <w:rPr>
          <w:rFonts w:eastAsia="Times New Roman" w:cs="Times New Roman"/>
          <w:color w:val="000000"/>
        </w:rPr>
        <w:t>.</w:t>
      </w:r>
    </w:p>
  </w:footnote>
  <w:footnote w:id="67">
    <w:p w14:paraId="749B3CD8" w14:textId="073CC78F" w:rsidR="005A7A01" w:rsidRPr="00BE4144" w:rsidRDefault="005A7A01"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cs="Times New Roman"/>
          <w:smallCaps/>
        </w:rPr>
        <w:t>Dept. of Commerce, Circular of the Bureau of Standards No. 50: National Standard Hose Couplings and Fittings for Public Fire Service</w:t>
      </w:r>
      <w:r w:rsidRPr="00BE4144">
        <w:rPr>
          <w:rFonts w:cs="Times New Roman"/>
        </w:rPr>
        <w:t xml:space="preserve"> (1914), </w:t>
      </w:r>
      <w:hyperlink r:id="rId12" w:history="1">
        <w:r w:rsidRPr="00BE4144">
          <w:rPr>
            <w:rStyle w:val="Hyperlink"/>
            <w:rFonts w:cs="Times New Roman"/>
          </w:rPr>
          <w:t>https://nvlpubs.nist.gov/nistpubs/Legacy/circ/nbscircular50.pdf</w:t>
        </w:r>
      </w:hyperlink>
      <w:r w:rsidRPr="00BE4144">
        <w:rPr>
          <w:rFonts w:cs="Times New Roman"/>
        </w:rPr>
        <w:t xml:space="preserve">; </w:t>
      </w:r>
      <w:r w:rsidR="007360CD" w:rsidRPr="00BE4144">
        <w:rPr>
          <w:rFonts w:cs="Times New Roman"/>
        </w:rPr>
        <w:t xml:space="preserve">Overview, NIST, </w:t>
      </w:r>
      <w:hyperlink r:id="rId13" w:history="1">
        <w:r w:rsidR="00DD158D" w:rsidRPr="00DD1357">
          <w:rPr>
            <w:rStyle w:val="Hyperlink"/>
            <w:rFonts w:cs="Times New Roman"/>
          </w:rPr>
          <w:t>https://www.nist.gov/standards</w:t>
        </w:r>
      </w:hyperlink>
      <w:r w:rsidR="007360CD" w:rsidRPr="00BE4144">
        <w:rPr>
          <w:rFonts w:cs="Times New Roman"/>
        </w:rPr>
        <w:t>.</w:t>
      </w:r>
    </w:p>
  </w:footnote>
  <w:footnote w:id="68">
    <w:p w14:paraId="7618756D" w14:textId="41C07425" w:rsidR="007F18F2" w:rsidRPr="00BE4144" w:rsidRDefault="007F18F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255D63">
        <w:rPr>
          <w:rFonts w:eastAsia="Times New Roman" w:cs="Times New Roman"/>
          <w:color w:val="000000"/>
        </w:rPr>
        <w:t xml:space="preserve">Richard L. </w:t>
      </w:r>
      <w:r w:rsidRPr="00BE4144">
        <w:rPr>
          <w:rFonts w:eastAsia="Times New Roman" w:cs="Times New Roman"/>
          <w:color w:val="000000"/>
        </w:rPr>
        <w:t>Revesz</w:t>
      </w:r>
      <w:r w:rsidR="00255D63">
        <w:rPr>
          <w:rFonts w:eastAsia="Times New Roman" w:cs="Times New Roman"/>
          <w:color w:val="000000"/>
        </w:rPr>
        <w:t xml:space="preserve">, </w:t>
      </w:r>
      <w:r w:rsidR="00255D63" w:rsidRPr="00403D85">
        <w:rPr>
          <w:rFonts w:eastAsia="Times New Roman" w:cs="Times New Roman"/>
          <w:i/>
          <w:iCs/>
          <w:color w:val="222222"/>
          <w:szCs w:val="24"/>
          <w:shd w:val="clear" w:color="auto" w:fill="FFFFFF"/>
        </w:rPr>
        <w:t xml:space="preserve">Rehabilitating </w:t>
      </w:r>
      <w:r w:rsidR="00255D63" w:rsidRPr="00255D63">
        <w:rPr>
          <w:rFonts w:eastAsia="Times New Roman" w:cs="Times New Roman"/>
          <w:i/>
          <w:iCs/>
          <w:color w:val="222222"/>
          <w:szCs w:val="24"/>
          <w:shd w:val="clear" w:color="auto" w:fill="FFFFFF"/>
        </w:rPr>
        <w:t xml:space="preserve">Interstate Competition: </w:t>
      </w:r>
      <w:r w:rsidR="00255D63" w:rsidRPr="00403D85">
        <w:rPr>
          <w:rFonts w:eastAsia="Times New Roman" w:cs="Times New Roman"/>
          <w:i/>
          <w:iCs/>
          <w:color w:val="222222"/>
          <w:szCs w:val="24"/>
          <w:shd w:val="clear" w:color="auto" w:fill="FFFFFF"/>
        </w:rPr>
        <w:t xml:space="preserve">Rethinking </w:t>
      </w:r>
      <w:r w:rsidR="00255D63">
        <w:rPr>
          <w:rFonts w:eastAsia="Times New Roman" w:cs="Times New Roman"/>
          <w:i/>
          <w:iCs/>
          <w:color w:val="222222"/>
          <w:szCs w:val="24"/>
          <w:shd w:val="clear" w:color="auto" w:fill="FFFFFF"/>
        </w:rPr>
        <w:t>t</w:t>
      </w:r>
      <w:r w:rsidR="00255D63" w:rsidRPr="00255D63">
        <w:rPr>
          <w:rFonts w:eastAsia="Times New Roman" w:cs="Times New Roman"/>
          <w:i/>
          <w:iCs/>
          <w:color w:val="222222"/>
          <w:szCs w:val="24"/>
          <w:shd w:val="clear" w:color="auto" w:fill="FFFFFF"/>
        </w:rPr>
        <w:t>he Race-</w:t>
      </w:r>
      <w:r w:rsidR="00255D63">
        <w:rPr>
          <w:rFonts w:eastAsia="Times New Roman" w:cs="Times New Roman"/>
          <w:i/>
          <w:iCs/>
          <w:color w:val="222222"/>
          <w:szCs w:val="24"/>
          <w:shd w:val="clear" w:color="auto" w:fill="FFFFFF"/>
        </w:rPr>
        <w:t>t</w:t>
      </w:r>
      <w:r w:rsidR="00255D63" w:rsidRPr="00255D63">
        <w:rPr>
          <w:rFonts w:eastAsia="Times New Roman" w:cs="Times New Roman"/>
          <w:i/>
          <w:iCs/>
          <w:color w:val="222222"/>
          <w:szCs w:val="24"/>
          <w:shd w:val="clear" w:color="auto" w:fill="FFFFFF"/>
        </w:rPr>
        <w:t>o-</w:t>
      </w:r>
      <w:r w:rsidR="00255D63">
        <w:rPr>
          <w:rFonts w:eastAsia="Times New Roman" w:cs="Times New Roman"/>
          <w:i/>
          <w:iCs/>
          <w:color w:val="222222"/>
          <w:szCs w:val="24"/>
          <w:shd w:val="clear" w:color="auto" w:fill="FFFFFF"/>
        </w:rPr>
        <w:t>t</w:t>
      </w:r>
      <w:r w:rsidR="00255D63" w:rsidRPr="00255D63">
        <w:rPr>
          <w:rFonts w:eastAsia="Times New Roman" w:cs="Times New Roman"/>
          <w:i/>
          <w:iCs/>
          <w:color w:val="222222"/>
          <w:szCs w:val="24"/>
          <w:shd w:val="clear" w:color="auto" w:fill="FFFFFF"/>
        </w:rPr>
        <w:t xml:space="preserve">he-Bottom Rationale </w:t>
      </w:r>
      <w:r w:rsidR="00255D63">
        <w:rPr>
          <w:rFonts w:eastAsia="Times New Roman" w:cs="Times New Roman"/>
          <w:i/>
          <w:iCs/>
          <w:color w:val="222222"/>
          <w:szCs w:val="24"/>
          <w:shd w:val="clear" w:color="auto" w:fill="FFFFFF"/>
        </w:rPr>
        <w:t>f</w:t>
      </w:r>
      <w:r w:rsidR="00255D63" w:rsidRPr="00255D63">
        <w:rPr>
          <w:rFonts w:eastAsia="Times New Roman" w:cs="Times New Roman"/>
          <w:i/>
          <w:iCs/>
          <w:color w:val="222222"/>
          <w:szCs w:val="24"/>
          <w:shd w:val="clear" w:color="auto" w:fill="FFFFFF"/>
        </w:rPr>
        <w:t>or Federal Environmental Regulation</w:t>
      </w:r>
      <w:r w:rsidR="00255D63">
        <w:rPr>
          <w:rFonts w:eastAsia="Times New Roman" w:cs="Times New Roman"/>
          <w:color w:val="222222"/>
          <w:szCs w:val="24"/>
          <w:shd w:val="clear" w:color="auto" w:fill="FFFFFF"/>
        </w:rPr>
        <w:t>, 67 N.Y.U L. R. 1210</w:t>
      </w:r>
      <w:r w:rsidR="00255D63" w:rsidRPr="00BE4144">
        <w:rPr>
          <w:rFonts w:eastAsia="Times New Roman" w:cs="Times New Roman"/>
          <w:color w:val="000000"/>
        </w:rPr>
        <w:t xml:space="preserve"> </w:t>
      </w:r>
      <w:r w:rsidR="00255D63">
        <w:rPr>
          <w:rFonts w:eastAsia="Times New Roman" w:cs="Times New Roman"/>
          <w:color w:val="000000"/>
        </w:rPr>
        <w:t>(</w:t>
      </w:r>
      <w:r w:rsidRPr="00BE4144">
        <w:rPr>
          <w:rFonts w:eastAsia="Times New Roman" w:cs="Times New Roman"/>
          <w:color w:val="000000"/>
        </w:rPr>
        <w:t>1992</w:t>
      </w:r>
      <w:r w:rsidR="00255D63">
        <w:rPr>
          <w:rFonts w:eastAsia="Times New Roman" w:cs="Times New Roman"/>
          <w:color w:val="000000"/>
        </w:rPr>
        <w:t>)</w:t>
      </w:r>
      <w:r w:rsidRPr="00BE4144">
        <w:rPr>
          <w:rFonts w:eastAsia="Times New Roman" w:cs="Times New Roman"/>
          <w:color w:val="000000"/>
        </w:rPr>
        <w:t xml:space="preserve">; </w:t>
      </w:r>
      <w:r w:rsidR="00255D63">
        <w:rPr>
          <w:rFonts w:eastAsia="Times New Roman" w:cs="Times New Roman"/>
          <w:color w:val="000000"/>
        </w:rPr>
        <w:t xml:space="preserve">Daniel C. </w:t>
      </w:r>
      <w:r w:rsidRPr="00BE4144">
        <w:rPr>
          <w:rFonts w:eastAsia="Times New Roman" w:cs="Times New Roman"/>
          <w:color w:val="000000"/>
        </w:rPr>
        <w:t>Esty</w:t>
      </w:r>
      <w:r w:rsidR="00255D63">
        <w:rPr>
          <w:rFonts w:eastAsia="Times New Roman" w:cs="Times New Roman"/>
          <w:color w:val="000000"/>
        </w:rPr>
        <w:t xml:space="preserve">, </w:t>
      </w:r>
      <w:r w:rsidR="00255D63" w:rsidRPr="00403D85">
        <w:rPr>
          <w:rFonts w:eastAsia="Times New Roman" w:cs="Times New Roman"/>
          <w:i/>
          <w:iCs/>
          <w:color w:val="222222"/>
          <w:szCs w:val="24"/>
          <w:shd w:val="clear" w:color="auto" w:fill="FFFFFF"/>
        </w:rPr>
        <w:t>Regulatory Competition in Focus</w:t>
      </w:r>
      <w:r w:rsidR="00255D63">
        <w:rPr>
          <w:rFonts w:eastAsia="Times New Roman" w:cs="Times New Roman"/>
          <w:color w:val="000000"/>
        </w:rPr>
        <w:t xml:space="preserve">, </w:t>
      </w:r>
      <w:r w:rsidR="008B325A">
        <w:rPr>
          <w:rFonts w:eastAsia="Times New Roman" w:cs="Times New Roman"/>
          <w:color w:val="000000"/>
        </w:rPr>
        <w:t>3 J. Int’l Econ. L. 215</w:t>
      </w:r>
      <w:r w:rsidRPr="00BE4144">
        <w:rPr>
          <w:rFonts w:eastAsia="Times New Roman" w:cs="Times New Roman"/>
          <w:color w:val="000000"/>
        </w:rPr>
        <w:t xml:space="preserve"> </w:t>
      </w:r>
      <w:r w:rsidR="008B325A">
        <w:rPr>
          <w:rFonts w:eastAsia="Times New Roman" w:cs="Times New Roman"/>
          <w:color w:val="000000"/>
        </w:rPr>
        <w:t>(</w:t>
      </w:r>
      <w:r w:rsidRPr="00BE4144">
        <w:rPr>
          <w:rFonts w:eastAsia="Times New Roman" w:cs="Times New Roman"/>
          <w:color w:val="000000"/>
        </w:rPr>
        <w:t>2000)</w:t>
      </w:r>
      <w:r w:rsidR="008B325A">
        <w:rPr>
          <w:rFonts w:eastAsia="Times New Roman" w:cs="Times New Roman"/>
          <w:color w:val="000000"/>
        </w:rPr>
        <w:t>.</w:t>
      </w:r>
    </w:p>
  </w:footnote>
  <w:footnote w:id="69">
    <w:p w14:paraId="0BF32B19" w14:textId="6A9DC231" w:rsidR="007F18F2" w:rsidRPr="00BE4144" w:rsidRDefault="007F18F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Leiter</w:t>
      </w:r>
      <w:r w:rsidR="008B325A">
        <w:rPr>
          <w:rFonts w:eastAsia="Times New Roman" w:cs="Times New Roman"/>
          <w:color w:val="000000"/>
        </w:rPr>
        <w:t xml:space="preserve">, </w:t>
      </w:r>
      <w:r w:rsidR="008B325A">
        <w:rPr>
          <w:rFonts w:eastAsia="Times New Roman" w:cs="Times New Roman"/>
          <w:i/>
          <w:iCs/>
          <w:color w:val="000000"/>
        </w:rPr>
        <w:t xml:space="preserve">supra </w:t>
      </w:r>
      <w:r w:rsidR="008B325A">
        <w:rPr>
          <w:rFonts w:eastAsia="Times New Roman" w:cs="Times New Roman"/>
          <w:color w:val="000000"/>
        </w:rPr>
        <w:t xml:space="preserve">note </w:t>
      </w:r>
      <w:r w:rsidR="008B325A">
        <w:rPr>
          <w:rFonts w:eastAsia="Times New Roman" w:cs="Times New Roman"/>
          <w:color w:val="000000"/>
        </w:rPr>
        <w:fldChar w:fldCharType="begin"/>
      </w:r>
      <w:r w:rsidR="008B325A">
        <w:rPr>
          <w:rFonts w:eastAsia="Times New Roman" w:cs="Times New Roman"/>
          <w:color w:val="000000"/>
        </w:rPr>
        <w:instrText xml:space="preserve"> NOTEREF _Ref142231869 \h </w:instrText>
      </w:r>
      <w:r w:rsidR="008B325A">
        <w:rPr>
          <w:rFonts w:eastAsia="Times New Roman" w:cs="Times New Roman"/>
          <w:color w:val="000000"/>
        </w:rPr>
      </w:r>
      <w:r w:rsidR="008B325A">
        <w:rPr>
          <w:rFonts w:eastAsia="Times New Roman" w:cs="Times New Roman"/>
          <w:color w:val="000000"/>
        </w:rPr>
        <w:fldChar w:fldCharType="separate"/>
      </w:r>
      <w:r w:rsidR="008B325A">
        <w:rPr>
          <w:rFonts w:eastAsia="Times New Roman" w:cs="Times New Roman"/>
          <w:color w:val="000000"/>
        </w:rPr>
        <w:t>9</w:t>
      </w:r>
      <w:r w:rsidR="008B325A">
        <w:rPr>
          <w:rFonts w:eastAsia="Times New Roman" w:cs="Times New Roman"/>
          <w:color w:val="000000"/>
        </w:rPr>
        <w:fldChar w:fldCharType="end"/>
      </w:r>
      <w:r w:rsidR="008B325A">
        <w:rPr>
          <w:rFonts w:eastAsia="Times New Roman" w:cs="Times New Roman"/>
          <w:color w:val="000000"/>
        </w:rPr>
        <w:t>, at __.</w:t>
      </w:r>
    </w:p>
  </w:footnote>
  <w:footnote w:id="70">
    <w:p w14:paraId="03B4ED2C" w14:textId="412FC69D" w:rsidR="007F18F2" w:rsidRPr="00BE4144" w:rsidRDefault="007F18F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8B325A">
        <w:rPr>
          <w:rFonts w:eastAsia="Times New Roman" w:cs="Times New Roman"/>
          <w:color w:val="000000"/>
        </w:rPr>
        <w:t xml:space="preserve">Daniel C. </w:t>
      </w:r>
      <w:r w:rsidRPr="00BE4144">
        <w:rPr>
          <w:rFonts w:eastAsia="Times New Roman" w:cs="Times New Roman"/>
          <w:color w:val="000000"/>
        </w:rPr>
        <w:t xml:space="preserve">Esty &amp; </w:t>
      </w:r>
      <w:r w:rsidR="008B325A">
        <w:rPr>
          <w:rFonts w:eastAsia="Times New Roman" w:cs="Times New Roman"/>
          <w:color w:val="000000"/>
        </w:rPr>
        <w:t xml:space="preserve">Damien </w:t>
      </w:r>
      <w:proofErr w:type="spellStart"/>
      <w:r w:rsidRPr="00BE4144">
        <w:rPr>
          <w:rFonts w:eastAsia="Times New Roman" w:cs="Times New Roman"/>
          <w:color w:val="000000"/>
        </w:rPr>
        <w:t>Gerardin</w:t>
      </w:r>
      <w:proofErr w:type="spellEnd"/>
      <w:r w:rsidR="008B325A">
        <w:rPr>
          <w:rFonts w:eastAsia="Times New Roman" w:cs="Times New Roman"/>
          <w:color w:val="000000"/>
        </w:rPr>
        <w:t xml:space="preserve">, </w:t>
      </w:r>
      <w:r w:rsidR="008B325A">
        <w:rPr>
          <w:rFonts w:eastAsia="Times New Roman" w:cs="Times New Roman"/>
          <w:i/>
          <w:iCs/>
          <w:color w:val="000000"/>
        </w:rPr>
        <w:t>Regulatory Co-opetition</w:t>
      </w:r>
      <w:r w:rsidR="008B325A">
        <w:rPr>
          <w:rFonts w:eastAsia="Times New Roman" w:cs="Times New Roman"/>
          <w:color w:val="000000"/>
        </w:rPr>
        <w:t>, 3 J. Int’l Econ. L. 235</w:t>
      </w:r>
      <w:r w:rsidRPr="00BE4144">
        <w:rPr>
          <w:rFonts w:eastAsia="Times New Roman" w:cs="Times New Roman"/>
          <w:color w:val="000000"/>
        </w:rPr>
        <w:t xml:space="preserve"> </w:t>
      </w:r>
      <w:r w:rsidR="008B325A">
        <w:rPr>
          <w:rFonts w:eastAsia="Times New Roman" w:cs="Times New Roman"/>
          <w:color w:val="000000"/>
        </w:rPr>
        <w:t>(</w:t>
      </w:r>
      <w:r w:rsidRPr="00BE4144">
        <w:rPr>
          <w:rFonts w:eastAsia="Times New Roman" w:cs="Times New Roman"/>
          <w:color w:val="000000"/>
        </w:rPr>
        <w:t>2000)</w:t>
      </w:r>
      <w:r w:rsidR="008B325A">
        <w:rPr>
          <w:rFonts w:eastAsia="Times New Roman" w:cs="Times New Roman"/>
          <w:color w:val="000000"/>
        </w:rPr>
        <w:t>.</w:t>
      </w:r>
    </w:p>
  </w:footnote>
  <w:footnote w:id="71">
    <w:p w14:paraId="5E3DFD81" w14:textId="25B07ECD" w:rsidR="007F18F2" w:rsidRPr="00BE4144" w:rsidRDefault="007F18F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proofErr w:type="gramStart"/>
      <w:r w:rsidR="008B325A">
        <w:rPr>
          <w:rFonts w:eastAsia="Times New Roman" w:cs="Times New Roman"/>
          <w:i/>
          <w:iCs/>
          <w:color w:val="000000"/>
        </w:rPr>
        <w:t>Id.</w:t>
      </w:r>
      <w:r w:rsidRPr="00BE4144">
        <w:rPr>
          <w:rFonts w:eastAsia="Times New Roman" w:cs="Times New Roman"/>
          <w:color w:val="000000"/>
        </w:rPr>
        <w:t>;</w:t>
      </w:r>
      <w:proofErr w:type="gramEnd"/>
      <w:r w:rsidRPr="00BE4144">
        <w:rPr>
          <w:rFonts w:eastAsia="Times New Roman" w:cs="Times New Roman"/>
          <w:color w:val="000000"/>
        </w:rPr>
        <w:t xml:space="preserve"> Revesz</w:t>
      </w:r>
      <w:r w:rsidR="008B325A">
        <w:rPr>
          <w:rFonts w:eastAsia="Times New Roman" w:cs="Times New Roman"/>
          <w:color w:val="000000"/>
        </w:rPr>
        <w:t xml:space="preserve">, </w:t>
      </w:r>
      <w:r w:rsidR="008B325A">
        <w:rPr>
          <w:rFonts w:eastAsia="Times New Roman" w:cs="Times New Roman"/>
          <w:i/>
          <w:iCs/>
          <w:color w:val="000000"/>
        </w:rPr>
        <w:t xml:space="preserve">supra </w:t>
      </w:r>
      <w:r w:rsidR="008B325A">
        <w:rPr>
          <w:rFonts w:eastAsia="Times New Roman" w:cs="Times New Roman"/>
          <w:color w:val="000000"/>
        </w:rPr>
        <w:t xml:space="preserve">note </w:t>
      </w:r>
      <w:r w:rsidR="008B325A">
        <w:rPr>
          <w:rFonts w:eastAsia="Times New Roman" w:cs="Times New Roman"/>
          <w:color w:val="000000"/>
        </w:rPr>
        <w:fldChar w:fldCharType="begin"/>
      </w:r>
      <w:r w:rsidR="008B325A">
        <w:rPr>
          <w:rFonts w:eastAsia="Times New Roman" w:cs="Times New Roman"/>
          <w:color w:val="000000"/>
        </w:rPr>
        <w:instrText xml:space="preserve"> NOTEREF _Ref142232087 \h </w:instrText>
      </w:r>
      <w:r w:rsidR="008B325A">
        <w:rPr>
          <w:rFonts w:eastAsia="Times New Roman" w:cs="Times New Roman"/>
          <w:color w:val="000000"/>
        </w:rPr>
      </w:r>
      <w:r w:rsidR="008B325A">
        <w:rPr>
          <w:rFonts w:eastAsia="Times New Roman" w:cs="Times New Roman"/>
          <w:color w:val="000000"/>
        </w:rPr>
        <w:fldChar w:fldCharType="separate"/>
      </w:r>
      <w:r w:rsidR="008B325A">
        <w:rPr>
          <w:rFonts w:eastAsia="Times New Roman" w:cs="Times New Roman"/>
          <w:color w:val="000000"/>
        </w:rPr>
        <w:t>66</w:t>
      </w:r>
      <w:r w:rsidR="008B325A">
        <w:rPr>
          <w:rFonts w:eastAsia="Times New Roman" w:cs="Times New Roman"/>
          <w:color w:val="000000"/>
        </w:rPr>
        <w:fldChar w:fldCharType="end"/>
      </w:r>
      <w:r w:rsidR="008B325A">
        <w:rPr>
          <w:rFonts w:eastAsia="Times New Roman" w:cs="Times New Roman"/>
          <w:color w:val="000000"/>
        </w:rPr>
        <w:t>, at __</w:t>
      </w:r>
      <w:r w:rsidRPr="00BE4144">
        <w:rPr>
          <w:rFonts w:eastAsia="Times New Roman" w:cs="Times New Roman"/>
          <w:color w:val="000000"/>
        </w:rPr>
        <w:t xml:space="preserve">; </w:t>
      </w:r>
      <w:r w:rsidR="008B325A">
        <w:rPr>
          <w:rFonts w:eastAsia="Times New Roman" w:cs="Times New Roman"/>
          <w:color w:val="000000"/>
        </w:rPr>
        <w:t xml:space="preserve">Charles M. </w:t>
      </w:r>
      <w:r w:rsidRPr="00BE4144">
        <w:rPr>
          <w:rFonts w:eastAsia="Times New Roman" w:cs="Times New Roman"/>
          <w:color w:val="000000"/>
        </w:rPr>
        <w:t>Tiebout</w:t>
      </w:r>
      <w:r w:rsidR="008B325A">
        <w:rPr>
          <w:rFonts w:eastAsia="Times New Roman" w:cs="Times New Roman"/>
          <w:color w:val="000000"/>
        </w:rPr>
        <w:t xml:space="preserve">, </w:t>
      </w:r>
      <w:r w:rsidR="008B325A">
        <w:rPr>
          <w:rFonts w:eastAsia="Times New Roman" w:cs="Times New Roman"/>
          <w:i/>
          <w:iCs/>
          <w:color w:val="000000"/>
        </w:rPr>
        <w:t>A Pure Theory of Local Expenditures</w:t>
      </w:r>
      <w:r w:rsidR="008B325A">
        <w:rPr>
          <w:rFonts w:eastAsia="Times New Roman" w:cs="Times New Roman"/>
          <w:color w:val="000000"/>
        </w:rPr>
        <w:t>, 64 J. Pol. Thought 416</w:t>
      </w:r>
      <w:r w:rsidRPr="00BE4144">
        <w:rPr>
          <w:rFonts w:eastAsia="Times New Roman" w:cs="Times New Roman"/>
          <w:color w:val="000000"/>
        </w:rPr>
        <w:t xml:space="preserve"> </w:t>
      </w:r>
      <w:r w:rsidR="008B325A">
        <w:rPr>
          <w:rFonts w:eastAsia="Times New Roman" w:cs="Times New Roman"/>
          <w:color w:val="000000"/>
        </w:rPr>
        <w:t>(</w:t>
      </w:r>
      <w:r w:rsidRPr="00BE4144">
        <w:rPr>
          <w:rFonts w:eastAsia="Times New Roman" w:cs="Times New Roman"/>
          <w:color w:val="000000"/>
        </w:rPr>
        <w:t>1956)</w:t>
      </w:r>
      <w:r w:rsidR="008B325A">
        <w:rPr>
          <w:rFonts w:eastAsia="Times New Roman" w:cs="Times New Roman"/>
          <w:color w:val="000000"/>
        </w:rPr>
        <w:t>.</w:t>
      </w:r>
    </w:p>
  </w:footnote>
  <w:footnote w:id="72">
    <w:p w14:paraId="78156F20" w14:textId="7EFD486C" w:rsidR="007F18F2" w:rsidRPr="008B325A" w:rsidRDefault="007F18F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8B325A">
        <w:rPr>
          <w:rFonts w:eastAsia="Times New Roman" w:cs="Times New Roman"/>
          <w:color w:val="000000"/>
        </w:rPr>
        <w:t xml:space="preserve">Tiebout, </w:t>
      </w:r>
      <w:r w:rsidR="008B325A">
        <w:rPr>
          <w:rFonts w:eastAsia="Times New Roman" w:cs="Times New Roman"/>
          <w:i/>
          <w:iCs/>
          <w:color w:val="000000"/>
        </w:rPr>
        <w:t xml:space="preserve">supa </w:t>
      </w:r>
      <w:r w:rsidR="008B325A">
        <w:rPr>
          <w:rFonts w:eastAsia="Times New Roman" w:cs="Times New Roman"/>
          <w:color w:val="000000"/>
        </w:rPr>
        <w:t xml:space="preserve">note </w:t>
      </w:r>
      <w:r w:rsidR="008B325A">
        <w:rPr>
          <w:rFonts w:eastAsia="Times New Roman" w:cs="Times New Roman"/>
          <w:color w:val="000000"/>
        </w:rPr>
        <w:fldChar w:fldCharType="begin"/>
      </w:r>
      <w:r w:rsidR="008B325A">
        <w:rPr>
          <w:rFonts w:eastAsia="Times New Roman" w:cs="Times New Roman"/>
          <w:color w:val="000000"/>
        </w:rPr>
        <w:instrText xml:space="preserve"> NOTEREF _Ref142232198 \h </w:instrText>
      </w:r>
      <w:r w:rsidR="008B325A">
        <w:rPr>
          <w:rFonts w:eastAsia="Times New Roman" w:cs="Times New Roman"/>
          <w:color w:val="000000"/>
        </w:rPr>
      </w:r>
      <w:r w:rsidR="008B325A">
        <w:rPr>
          <w:rFonts w:eastAsia="Times New Roman" w:cs="Times New Roman"/>
          <w:color w:val="000000"/>
        </w:rPr>
        <w:fldChar w:fldCharType="separate"/>
      </w:r>
      <w:r w:rsidR="008B325A">
        <w:rPr>
          <w:rFonts w:eastAsia="Times New Roman" w:cs="Times New Roman"/>
          <w:color w:val="000000"/>
        </w:rPr>
        <w:t>69</w:t>
      </w:r>
      <w:r w:rsidR="008B325A">
        <w:rPr>
          <w:rFonts w:eastAsia="Times New Roman" w:cs="Times New Roman"/>
          <w:color w:val="000000"/>
        </w:rPr>
        <w:fldChar w:fldCharType="end"/>
      </w:r>
      <w:r w:rsidR="008B325A">
        <w:rPr>
          <w:rFonts w:eastAsia="Times New Roman" w:cs="Times New Roman"/>
          <w:color w:val="000000"/>
        </w:rPr>
        <w:t>.</w:t>
      </w:r>
    </w:p>
  </w:footnote>
  <w:footnote w:id="73">
    <w:p w14:paraId="105E0BEB" w14:textId="55D06227" w:rsidR="007F18F2" w:rsidRPr="00BE4144" w:rsidRDefault="007F18F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8B325A">
        <w:rPr>
          <w:rFonts w:eastAsia="Times New Roman" w:cs="Times New Roman"/>
          <w:i/>
          <w:iCs/>
          <w:color w:val="000000"/>
        </w:rPr>
        <w:t>Id.</w:t>
      </w:r>
    </w:p>
  </w:footnote>
  <w:footnote w:id="74">
    <w:p w14:paraId="043D25E1" w14:textId="65C52ED5" w:rsidR="00492594" w:rsidRPr="00BE4144" w:rsidRDefault="00492594"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See, e.g.</w:t>
      </w:r>
      <w:r w:rsidRPr="00BE4144">
        <w:rPr>
          <w:rFonts w:cs="Times New Roman"/>
        </w:rPr>
        <w:t xml:space="preserve">, </w:t>
      </w:r>
      <w:r w:rsidR="001F739C" w:rsidRPr="00BE4144">
        <w:rPr>
          <w:rFonts w:cs="Times New Roman"/>
        </w:rPr>
        <w:t xml:space="preserve">Frontier Model Forum, </w:t>
      </w:r>
      <w:r w:rsidR="001F739C" w:rsidRPr="00BE4144">
        <w:rPr>
          <w:rFonts w:cs="Times New Roman"/>
          <w:i/>
          <w:iCs/>
        </w:rPr>
        <w:t xml:space="preserve">supra </w:t>
      </w:r>
      <w:r w:rsidR="001F739C" w:rsidRPr="00BE4144">
        <w:rPr>
          <w:rFonts w:cs="Times New Roman"/>
        </w:rPr>
        <w:t xml:space="preserve">note xx, (defining the criteria for membership and noting that </w:t>
      </w:r>
      <w:r w:rsidR="00953231" w:rsidRPr="00BE4144">
        <w:rPr>
          <w:rFonts w:cs="Times New Roman"/>
        </w:rPr>
        <w:t>“</w:t>
      </w:r>
      <w:r w:rsidR="001F739C" w:rsidRPr="00BE4144">
        <w:rPr>
          <w:rFonts w:cs="Times New Roman"/>
        </w:rPr>
        <w:t>[t]he Forum welcomes organizations that meet these criteri</w:t>
      </w:r>
      <w:r w:rsidR="00953231" w:rsidRPr="00BE4144">
        <w:rPr>
          <w:rFonts w:cs="Times New Roman"/>
        </w:rPr>
        <w:t xml:space="preserve">a”); </w:t>
      </w:r>
      <w:r w:rsidR="00F32320" w:rsidRPr="00BE4144">
        <w:rPr>
          <w:rFonts w:cs="Times New Roman"/>
        </w:rPr>
        <w:t xml:space="preserve">North Am. Energy Standards Bd., https://www.naesb.org//pdf/ordrform.pdf (providing an order form for standards and standard form contracts and business practices). </w:t>
      </w:r>
    </w:p>
  </w:footnote>
  <w:footnote w:id="75">
    <w:p w14:paraId="0BE444E8" w14:textId="36524304" w:rsidR="007F18F2" w:rsidRPr="00BE4144" w:rsidRDefault="007F18F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Wiegmann, Eggers, de Vries, &amp; Blind</w:t>
      </w:r>
      <w:r w:rsidR="00F2025B">
        <w:rPr>
          <w:rFonts w:eastAsia="Times New Roman" w:cs="Times New Roman"/>
          <w:color w:val="000000"/>
        </w:rPr>
        <w:t xml:space="preserve">, </w:t>
      </w:r>
      <w:proofErr w:type="gramStart"/>
      <w:r w:rsidR="00F2025B">
        <w:rPr>
          <w:rFonts w:eastAsia="Times New Roman" w:cs="Times New Roman"/>
          <w:i/>
          <w:iCs/>
          <w:color w:val="000000"/>
        </w:rPr>
        <w:t>Supra</w:t>
      </w:r>
      <w:proofErr w:type="gramEnd"/>
      <w:r w:rsidR="00F2025B">
        <w:rPr>
          <w:rFonts w:eastAsia="Times New Roman" w:cs="Times New Roman"/>
          <w:i/>
          <w:iCs/>
          <w:color w:val="000000"/>
        </w:rPr>
        <w:t xml:space="preserve"> </w:t>
      </w:r>
      <w:r w:rsidR="00F2025B">
        <w:rPr>
          <w:rFonts w:eastAsia="Times New Roman" w:cs="Times New Roman"/>
          <w:color w:val="000000"/>
        </w:rPr>
        <w:t xml:space="preserve">note </w:t>
      </w:r>
      <w:r w:rsidR="00F2025B">
        <w:rPr>
          <w:rFonts w:eastAsia="Times New Roman" w:cs="Times New Roman"/>
          <w:color w:val="000000"/>
        </w:rPr>
        <w:fldChar w:fldCharType="begin"/>
      </w:r>
      <w:r w:rsidR="00F2025B">
        <w:rPr>
          <w:rFonts w:eastAsia="Times New Roman" w:cs="Times New Roman"/>
          <w:color w:val="000000"/>
        </w:rPr>
        <w:instrText xml:space="preserve"> NOTEREF _Ref142232469 \h </w:instrText>
      </w:r>
      <w:r w:rsidR="00F2025B">
        <w:rPr>
          <w:rFonts w:eastAsia="Times New Roman" w:cs="Times New Roman"/>
          <w:color w:val="000000"/>
        </w:rPr>
      </w:r>
      <w:r w:rsidR="00F2025B">
        <w:rPr>
          <w:rFonts w:eastAsia="Times New Roman" w:cs="Times New Roman"/>
          <w:color w:val="000000"/>
        </w:rPr>
        <w:fldChar w:fldCharType="separate"/>
      </w:r>
      <w:r w:rsidR="00F2025B">
        <w:rPr>
          <w:rFonts w:eastAsia="Times New Roman" w:cs="Times New Roman"/>
          <w:color w:val="000000"/>
        </w:rPr>
        <w:t>11</w:t>
      </w:r>
      <w:r w:rsidR="00F2025B">
        <w:rPr>
          <w:rFonts w:eastAsia="Times New Roman" w:cs="Times New Roman"/>
          <w:color w:val="000000"/>
        </w:rPr>
        <w:fldChar w:fldCharType="end"/>
      </w:r>
      <w:r w:rsidR="00F2025B">
        <w:rPr>
          <w:rFonts w:eastAsia="Times New Roman" w:cs="Times New Roman"/>
          <w:color w:val="000000"/>
        </w:rPr>
        <w:t>.</w:t>
      </w:r>
    </w:p>
  </w:footnote>
  <w:footnote w:id="76">
    <w:p w14:paraId="2DD19616" w14:textId="4D0C1190" w:rsidR="007F18F2" w:rsidRPr="00BE4144" w:rsidRDefault="007F18F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2025B">
        <w:rPr>
          <w:rFonts w:eastAsia="Times New Roman" w:cs="Times New Roman"/>
          <w:color w:val="000000"/>
        </w:rPr>
        <w:t xml:space="preserve">Hannah J. </w:t>
      </w:r>
      <w:r w:rsidRPr="00BE4144">
        <w:rPr>
          <w:rFonts w:eastAsia="Times New Roman" w:cs="Times New Roman"/>
          <w:color w:val="000000"/>
        </w:rPr>
        <w:t xml:space="preserve">Wiseman &amp; </w:t>
      </w:r>
      <w:r w:rsidR="00F2025B">
        <w:rPr>
          <w:rFonts w:eastAsia="Times New Roman" w:cs="Times New Roman"/>
          <w:color w:val="000000"/>
        </w:rPr>
        <w:t xml:space="preserve">Dave </w:t>
      </w:r>
      <w:r w:rsidRPr="00BE4144">
        <w:rPr>
          <w:rFonts w:eastAsia="Times New Roman" w:cs="Times New Roman"/>
          <w:color w:val="000000"/>
        </w:rPr>
        <w:t>Owen</w:t>
      </w:r>
      <w:r w:rsidR="00F2025B">
        <w:rPr>
          <w:rFonts w:eastAsia="Times New Roman" w:cs="Times New Roman"/>
          <w:color w:val="000000"/>
        </w:rPr>
        <w:t xml:space="preserve">, </w:t>
      </w:r>
      <w:r w:rsidR="00F2025B" w:rsidRPr="00403D85">
        <w:rPr>
          <w:rFonts w:eastAsia="Times New Roman" w:cs="Times New Roman"/>
          <w:i/>
          <w:iCs/>
          <w:color w:val="222222"/>
          <w:szCs w:val="24"/>
        </w:rPr>
        <w:t>Federal Laboratories of Democracy</w:t>
      </w:r>
      <w:r w:rsidR="00F2025B">
        <w:rPr>
          <w:rFonts w:eastAsia="Times New Roman" w:cs="Times New Roman"/>
          <w:color w:val="222222"/>
          <w:szCs w:val="24"/>
        </w:rPr>
        <w:t xml:space="preserve">, 52 </w:t>
      </w:r>
      <w:r w:rsidR="00F2025B" w:rsidRPr="00403D85">
        <w:rPr>
          <w:rFonts w:eastAsia="Times New Roman" w:cs="Times New Roman"/>
          <w:smallCaps/>
          <w:color w:val="222222"/>
          <w:szCs w:val="24"/>
        </w:rPr>
        <w:t xml:space="preserve">U.C. Davis. </w:t>
      </w:r>
      <w:proofErr w:type="spellStart"/>
      <w:r w:rsidR="00F2025B" w:rsidRPr="00403D85">
        <w:rPr>
          <w:rFonts w:eastAsia="Times New Roman" w:cs="Times New Roman"/>
          <w:smallCaps/>
          <w:color w:val="222222"/>
          <w:szCs w:val="24"/>
        </w:rPr>
        <w:t>L.Rev</w:t>
      </w:r>
      <w:proofErr w:type="spellEnd"/>
      <w:r w:rsidR="00F2025B" w:rsidRPr="00403D85">
        <w:rPr>
          <w:rFonts w:eastAsia="Times New Roman" w:cs="Times New Roman"/>
          <w:smallCaps/>
          <w:color w:val="222222"/>
          <w:szCs w:val="24"/>
        </w:rPr>
        <w:t xml:space="preserve">. </w:t>
      </w:r>
      <w:r w:rsidR="00F2025B">
        <w:rPr>
          <w:rFonts w:eastAsia="Times New Roman" w:cs="Times New Roman"/>
          <w:color w:val="222222"/>
          <w:szCs w:val="24"/>
        </w:rPr>
        <w:t>1119 (2018).</w:t>
      </w:r>
    </w:p>
  </w:footnote>
  <w:footnote w:id="77">
    <w:p w14:paraId="232524B8" w14:textId="2BF4360D" w:rsidR="00B47C4A" w:rsidRPr="00BE4144" w:rsidRDefault="00B47C4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2025B">
        <w:rPr>
          <w:rFonts w:eastAsia="Times New Roman" w:cs="Times New Roman"/>
          <w:color w:val="000000"/>
        </w:rPr>
        <w:t xml:space="preserve">Ehud </w:t>
      </w:r>
      <w:r w:rsidRPr="00BE4144">
        <w:rPr>
          <w:rFonts w:eastAsia="Times New Roman" w:cs="Times New Roman"/>
          <w:color w:val="000000"/>
        </w:rPr>
        <w:t>Kamar</w:t>
      </w:r>
      <w:r w:rsidR="00F2025B">
        <w:rPr>
          <w:rFonts w:eastAsia="Times New Roman" w:cs="Times New Roman"/>
          <w:color w:val="000000"/>
        </w:rPr>
        <w:t xml:space="preserve">, </w:t>
      </w:r>
      <w:r w:rsidR="00F2025B" w:rsidRPr="00403D85">
        <w:rPr>
          <w:rFonts w:eastAsia="Times New Roman" w:cs="Times New Roman"/>
          <w:i/>
          <w:iCs/>
          <w:color w:val="222222"/>
          <w:szCs w:val="24"/>
          <w:shd w:val="clear" w:color="auto" w:fill="FFFFFF"/>
        </w:rPr>
        <w:t>A Regulatory Competition Theory of Indeterminacy in Corporate Law</w:t>
      </w:r>
      <w:r w:rsidR="00F2025B">
        <w:rPr>
          <w:rFonts w:eastAsia="Times New Roman" w:cs="Times New Roman"/>
          <w:color w:val="222222"/>
          <w:szCs w:val="24"/>
          <w:shd w:val="clear" w:color="auto" w:fill="FFFFFF"/>
        </w:rPr>
        <w:t xml:space="preserve">, 98 </w:t>
      </w:r>
      <w:r w:rsidR="00F2025B" w:rsidRPr="00403D85">
        <w:rPr>
          <w:rFonts w:eastAsia="Times New Roman" w:cs="Times New Roman"/>
          <w:smallCaps/>
          <w:color w:val="222222"/>
          <w:szCs w:val="24"/>
          <w:shd w:val="clear" w:color="auto" w:fill="FFFFFF"/>
        </w:rPr>
        <w:t>Colum. L. Rev</w:t>
      </w:r>
      <w:r w:rsidR="00F2025B">
        <w:rPr>
          <w:rFonts w:eastAsia="Times New Roman" w:cs="Times New Roman"/>
          <w:color w:val="222222"/>
          <w:szCs w:val="24"/>
          <w:shd w:val="clear" w:color="auto" w:fill="FFFFFF"/>
        </w:rPr>
        <w:t>. 1908</w:t>
      </w:r>
      <w:r w:rsidRPr="00BE4144">
        <w:rPr>
          <w:rFonts w:eastAsia="Times New Roman" w:cs="Times New Roman"/>
          <w:color w:val="000000"/>
        </w:rPr>
        <w:t xml:space="preserve"> </w:t>
      </w:r>
      <w:r w:rsidR="00F2025B">
        <w:rPr>
          <w:rFonts w:eastAsia="Times New Roman" w:cs="Times New Roman"/>
          <w:color w:val="000000"/>
        </w:rPr>
        <w:t>(</w:t>
      </w:r>
      <w:r w:rsidRPr="00BE4144">
        <w:rPr>
          <w:rFonts w:eastAsia="Times New Roman" w:cs="Times New Roman"/>
          <w:color w:val="000000"/>
        </w:rPr>
        <w:t>1998</w:t>
      </w:r>
      <w:r w:rsidR="00F2025B">
        <w:rPr>
          <w:rFonts w:eastAsia="Times New Roman" w:cs="Times New Roman"/>
          <w:color w:val="000000"/>
        </w:rPr>
        <w:t>)</w:t>
      </w:r>
      <w:r w:rsidRPr="00BE4144">
        <w:rPr>
          <w:rFonts w:eastAsia="Times New Roman" w:cs="Times New Roman"/>
          <w:color w:val="000000"/>
        </w:rPr>
        <w:t xml:space="preserve">; </w:t>
      </w:r>
      <w:r w:rsidR="00F2025B">
        <w:rPr>
          <w:rFonts w:eastAsia="Times New Roman" w:cs="Times New Roman"/>
          <w:color w:val="000000"/>
        </w:rPr>
        <w:t xml:space="preserve">Brian D. </w:t>
      </w:r>
      <w:r w:rsidRPr="00BE4144">
        <w:rPr>
          <w:rFonts w:eastAsia="Times New Roman" w:cs="Times New Roman"/>
          <w:color w:val="000000"/>
        </w:rPr>
        <w:t xml:space="preserve">Galle &amp; </w:t>
      </w:r>
      <w:r w:rsidR="00F2025B">
        <w:rPr>
          <w:rFonts w:eastAsia="Times New Roman" w:cs="Times New Roman"/>
          <w:color w:val="000000"/>
        </w:rPr>
        <w:t xml:space="preserve">Joseph K. </w:t>
      </w:r>
      <w:r w:rsidRPr="00BE4144">
        <w:rPr>
          <w:rFonts w:eastAsia="Times New Roman" w:cs="Times New Roman"/>
          <w:color w:val="000000"/>
        </w:rPr>
        <w:t>Leahy</w:t>
      </w:r>
      <w:r w:rsidR="00F2025B">
        <w:rPr>
          <w:rFonts w:eastAsia="Times New Roman" w:cs="Times New Roman"/>
          <w:color w:val="000000"/>
        </w:rPr>
        <w:t xml:space="preserve">, </w:t>
      </w:r>
      <w:r w:rsidR="00F2025B" w:rsidRPr="00403D85">
        <w:rPr>
          <w:rFonts w:eastAsia="Times New Roman" w:cs="Times New Roman"/>
          <w:i/>
          <w:iCs/>
          <w:color w:val="222222"/>
          <w:szCs w:val="24"/>
          <w:shd w:val="clear" w:color="auto" w:fill="FFFFFF"/>
        </w:rPr>
        <w:t>Laboratories of Democracy? Policy Innovation in Decentralized Governments</w:t>
      </w:r>
      <w:r w:rsidR="00F2025B">
        <w:rPr>
          <w:rFonts w:eastAsia="Times New Roman" w:cs="Times New Roman"/>
          <w:color w:val="222222"/>
          <w:szCs w:val="24"/>
          <w:shd w:val="clear" w:color="auto" w:fill="FFFFFF"/>
        </w:rPr>
        <w:t xml:space="preserve">, 58 </w:t>
      </w:r>
      <w:r w:rsidR="00F2025B" w:rsidRPr="00403D85">
        <w:rPr>
          <w:rFonts w:eastAsia="Times New Roman" w:cs="Times New Roman"/>
          <w:smallCaps/>
          <w:color w:val="222222"/>
          <w:szCs w:val="24"/>
          <w:shd w:val="clear" w:color="auto" w:fill="FFFFFF"/>
        </w:rPr>
        <w:t>Emory L. J.</w:t>
      </w:r>
      <w:r w:rsidR="00F2025B">
        <w:rPr>
          <w:rFonts w:eastAsia="Times New Roman" w:cs="Times New Roman"/>
          <w:color w:val="222222"/>
          <w:szCs w:val="24"/>
          <w:shd w:val="clear" w:color="auto" w:fill="FFFFFF"/>
        </w:rPr>
        <w:t xml:space="preserve"> 1333, 1354</w:t>
      </w:r>
      <w:r w:rsidRPr="00403D85">
        <w:rPr>
          <w:rFonts w:eastAsia="Times New Roman" w:cs="Times New Roman"/>
          <w:i/>
          <w:iCs/>
          <w:color w:val="000000"/>
        </w:rPr>
        <w:t xml:space="preserve"> </w:t>
      </w:r>
      <w:r w:rsidR="00F2025B">
        <w:rPr>
          <w:rFonts w:eastAsia="Times New Roman" w:cs="Times New Roman"/>
          <w:color w:val="000000"/>
        </w:rPr>
        <w:t>(</w:t>
      </w:r>
      <w:r w:rsidRPr="00BE4144">
        <w:rPr>
          <w:rFonts w:eastAsia="Times New Roman" w:cs="Times New Roman"/>
          <w:color w:val="000000"/>
        </w:rPr>
        <w:t>2009</w:t>
      </w:r>
      <w:r w:rsidR="00F2025B">
        <w:rPr>
          <w:rFonts w:eastAsia="Times New Roman" w:cs="Times New Roman"/>
          <w:color w:val="000000"/>
        </w:rPr>
        <w:t>).</w:t>
      </w:r>
    </w:p>
  </w:footnote>
  <w:footnote w:id="78">
    <w:p w14:paraId="27BBEF1E" w14:textId="57CBF8CC" w:rsidR="00B47C4A" w:rsidRPr="00BE4144" w:rsidRDefault="00B47C4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2025B">
        <w:rPr>
          <w:rFonts w:cs="Times New Roman"/>
        </w:rPr>
        <w:t xml:space="preserve">Amy L. </w:t>
      </w:r>
      <w:r w:rsidRPr="00BE4144">
        <w:rPr>
          <w:rFonts w:eastAsia="Times New Roman" w:cs="Times New Roman"/>
          <w:color w:val="000000"/>
        </w:rPr>
        <w:t>Stein</w:t>
      </w:r>
      <w:r w:rsidR="00F2025B">
        <w:rPr>
          <w:rFonts w:eastAsia="Times New Roman" w:cs="Times New Roman"/>
          <w:color w:val="000000"/>
        </w:rPr>
        <w:t xml:space="preserve">, </w:t>
      </w:r>
      <w:r w:rsidR="0063709F" w:rsidRPr="00403D85">
        <w:rPr>
          <w:rFonts w:eastAsia="Times New Roman" w:cs="Times New Roman"/>
          <w:i/>
          <w:iCs/>
          <w:color w:val="222222"/>
          <w:szCs w:val="24"/>
          <w:shd w:val="clear" w:color="auto" w:fill="FFFFFF"/>
        </w:rPr>
        <w:t>Reconsidering Regulatory Uncertainty: Making a Case for Energy Storage</w:t>
      </w:r>
      <w:r w:rsidR="0063709F">
        <w:rPr>
          <w:rFonts w:eastAsia="Times New Roman" w:cs="Times New Roman"/>
          <w:color w:val="000000"/>
        </w:rPr>
        <w:t xml:space="preserve">, 41 </w:t>
      </w:r>
      <w:r w:rsidR="0063709F" w:rsidRPr="00403D85">
        <w:rPr>
          <w:rFonts w:eastAsia="Times New Roman" w:cs="Times New Roman"/>
          <w:smallCaps/>
          <w:color w:val="000000"/>
        </w:rPr>
        <w:t>Fla. St. U. L. Rev.</w:t>
      </w:r>
      <w:r w:rsidR="0063709F">
        <w:rPr>
          <w:rFonts w:eastAsia="Times New Roman" w:cs="Times New Roman"/>
          <w:color w:val="000000"/>
        </w:rPr>
        <w:t xml:space="preserve"> 697 (</w:t>
      </w:r>
      <w:r w:rsidRPr="00BE4144">
        <w:rPr>
          <w:rFonts w:eastAsia="Times New Roman" w:cs="Times New Roman"/>
          <w:color w:val="000000"/>
        </w:rPr>
        <w:t>2013</w:t>
      </w:r>
      <w:r w:rsidR="0063709F">
        <w:rPr>
          <w:rFonts w:eastAsia="Times New Roman" w:cs="Times New Roman"/>
          <w:color w:val="000000"/>
        </w:rPr>
        <w:t>)</w:t>
      </w:r>
      <w:r w:rsidRPr="00BE4144">
        <w:rPr>
          <w:rFonts w:eastAsia="Times New Roman" w:cs="Times New Roman"/>
          <w:color w:val="000000"/>
        </w:rPr>
        <w:t xml:space="preserve">; </w:t>
      </w:r>
      <w:r w:rsidR="0063709F" w:rsidRPr="0063709F">
        <w:t xml:space="preserve"> </w:t>
      </w:r>
      <w:r w:rsidR="0063709F" w:rsidRPr="0063709F">
        <w:rPr>
          <w:rFonts w:eastAsia="Times New Roman" w:cs="Times New Roman"/>
          <w:color w:val="000000"/>
        </w:rPr>
        <w:t xml:space="preserve">Sarah E. Light, </w:t>
      </w:r>
      <w:r w:rsidR="0063709F" w:rsidRPr="00403D85">
        <w:rPr>
          <w:rFonts w:eastAsia="Times New Roman" w:cs="Times New Roman"/>
          <w:i/>
          <w:iCs/>
          <w:color w:val="000000"/>
        </w:rPr>
        <w:t xml:space="preserve">Precautionary </w:t>
      </w:r>
      <w:proofErr w:type="gramStart"/>
      <w:r w:rsidR="0063709F" w:rsidRPr="00403D85">
        <w:rPr>
          <w:rFonts w:eastAsia="Times New Roman" w:cs="Times New Roman"/>
          <w:i/>
          <w:iCs/>
          <w:color w:val="000000"/>
        </w:rPr>
        <w:t>Federalism</w:t>
      </w:r>
      <w:proofErr w:type="gramEnd"/>
      <w:r w:rsidR="0063709F" w:rsidRPr="00403D85">
        <w:rPr>
          <w:rFonts w:eastAsia="Times New Roman" w:cs="Times New Roman"/>
          <w:i/>
          <w:iCs/>
          <w:color w:val="000000"/>
        </w:rPr>
        <w:t xml:space="preserve"> and the Sharing Economy</w:t>
      </w:r>
      <w:r w:rsidR="0063709F" w:rsidRPr="0063709F">
        <w:rPr>
          <w:rFonts w:eastAsia="Times New Roman" w:cs="Times New Roman"/>
          <w:color w:val="000000"/>
        </w:rPr>
        <w:t xml:space="preserve">, 66 </w:t>
      </w:r>
      <w:r w:rsidR="0063709F" w:rsidRPr="00403D85">
        <w:rPr>
          <w:rFonts w:eastAsia="Times New Roman" w:cs="Times New Roman"/>
          <w:smallCaps/>
          <w:color w:val="000000"/>
        </w:rPr>
        <w:t>Emory L.J</w:t>
      </w:r>
      <w:r w:rsidR="0063709F" w:rsidRPr="0063709F">
        <w:rPr>
          <w:rFonts w:eastAsia="Times New Roman" w:cs="Times New Roman"/>
          <w:color w:val="000000"/>
        </w:rPr>
        <w:t>. 333 (2017)</w:t>
      </w:r>
      <w:r w:rsidR="0063709F">
        <w:rPr>
          <w:rFonts w:eastAsia="Times New Roman" w:cs="Times New Roman"/>
          <w:color w:val="000000"/>
        </w:rPr>
        <w:t>.</w:t>
      </w:r>
    </w:p>
  </w:footnote>
  <w:footnote w:id="79">
    <w:p w14:paraId="49A45C62" w14:textId="79FCC89A" w:rsidR="00EF022E" w:rsidRPr="00BE4144" w:rsidRDefault="00EF022E" w:rsidP="00BE4144">
      <w:pPr>
        <w:pStyle w:val="FootnoteText"/>
        <w:jc w:val="both"/>
        <w:rPr>
          <w:rFonts w:cs="Times New Roman"/>
        </w:rPr>
      </w:pPr>
      <w:r w:rsidRPr="00BE4144">
        <w:rPr>
          <w:rStyle w:val="FootnoteReference"/>
          <w:rFonts w:cs="Times New Roman"/>
        </w:rPr>
        <w:footnoteRef/>
      </w:r>
      <w:r w:rsidR="00B13A3E" w:rsidRPr="00BE4144">
        <w:rPr>
          <w:rFonts w:cs="Times New Roman"/>
        </w:rPr>
        <w:t xml:space="preserve"> Legal Environmental Assistance Foundation, Inc. v. U.S. </w:t>
      </w:r>
      <w:proofErr w:type="spellStart"/>
      <w:r w:rsidR="00B13A3E" w:rsidRPr="00BE4144">
        <w:rPr>
          <w:rFonts w:cs="Times New Roman"/>
        </w:rPr>
        <w:t>E</w:t>
      </w:r>
      <w:r w:rsidR="002D0E5D" w:rsidRPr="00BE4144">
        <w:rPr>
          <w:rFonts w:cs="Times New Roman"/>
        </w:rPr>
        <w:t>nvtl</w:t>
      </w:r>
      <w:proofErr w:type="spellEnd"/>
      <w:r w:rsidR="002D0E5D" w:rsidRPr="00BE4144">
        <w:rPr>
          <w:rFonts w:cs="Times New Roman"/>
        </w:rPr>
        <w:t>. Protection Agency, 118 F.3d 1467 (</w:t>
      </w:r>
      <w:r w:rsidR="00650632">
        <w:rPr>
          <w:rFonts w:cs="Times New Roman"/>
        </w:rPr>
        <w:t>1</w:t>
      </w:r>
      <w:r w:rsidR="002D0E5D" w:rsidRPr="00BE4144">
        <w:rPr>
          <w:rFonts w:cs="Times New Roman"/>
        </w:rPr>
        <w:t>1</w:t>
      </w:r>
      <w:r w:rsidR="00650632">
        <w:rPr>
          <w:rFonts w:cs="Times New Roman"/>
        </w:rPr>
        <w:t>th</w:t>
      </w:r>
      <w:r w:rsidR="002D0E5D" w:rsidRPr="00BE4144">
        <w:rPr>
          <w:rFonts w:cs="Times New Roman"/>
        </w:rPr>
        <w:t xml:space="preserve"> Cir. 1997). </w:t>
      </w:r>
    </w:p>
  </w:footnote>
  <w:footnote w:id="80">
    <w:p w14:paraId="6832BA01" w14:textId="2931F32B" w:rsidR="00EF022E" w:rsidRPr="00BE4144" w:rsidRDefault="00EF022E"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Joshua P. Meltzer, </w:t>
      </w:r>
      <w:r w:rsidRPr="00403D85">
        <w:rPr>
          <w:rFonts w:cs="Times New Roman"/>
          <w:i/>
          <w:iCs/>
        </w:rPr>
        <w:t>The US government should regulate AI if it wants to lead one international AI governance</w:t>
      </w:r>
      <w:r w:rsidRPr="00BE4144">
        <w:rPr>
          <w:rFonts w:cs="Times New Roman"/>
        </w:rPr>
        <w:t>,</w:t>
      </w:r>
      <w:r w:rsidR="0063709F" w:rsidRPr="0063709F">
        <w:rPr>
          <w:rFonts w:cs="Times New Roman"/>
        </w:rPr>
        <w:t xml:space="preserve"> </w:t>
      </w:r>
      <w:r w:rsidR="0063709F" w:rsidRPr="00403D85">
        <w:rPr>
          <w:rFonts w:cs="Times New Roman"/>
          <w:smallCaps/>
        </w:rPr>
        <w:t>Brookings</w:t>
      </w:r>
      <w:r w:rsidR="0063709F" w:rsidRPr="00BE4144">
        <w:rPr>
          <w:rFonts w:cs="Times New Roman"/>
        </w:rPr>
        <w:t>,</w:t>
      </w:r>
      <w:r w:rsidR="0063709F">
        <w:rPr>
          <w:rFonts w:cs="Times New Roman"/>
        </w:rPr>
        <w:t xml:space="preserve"> </w:t>
      </w:r>
      <w:r w:rsidRPr="00BE4144">
        <w:rPr>
          <w:rFonts w:cs="Times New Roman"/>
        </w:rPr>
        <w:t xml:space="preserve">May 22, 2023 </w:t>
      </w:r>
      <w:hyperlink r:id="rId14" w:history="1">
        <w:r w:rsidRPr="00BE4144">
          <w:rPr>
            <w:rStyle w:val="Hyperlink"/>
            <w:rFonts w:cs="Times New Roman"/>
          </w:rPr>
          <w:t>https://www.brookings.edu/articles/the-us-government-should-regulate-ai/</w:t>
        </w:r>
      </w:hyperlink>
      <w:r w:rsidRPr="00BE4144">
        <w:rPr>
          <w:rFonts w:cs="Times New Roman"/>
        </w:rPr>
        <w:t xml:space="preserve">; Anthony E. DiResta, </w:t>
      </w:r>
      <w:r w:rsidRPr="00403D85">
        <w:rPr>
          <w:rFonts w:cs="Times New Roman"/>
          <w:i/>
          <w:iCs/>
        </w:rPr>
        <w:t>The FTC is Regulating AI: A Comprehensive Analysis</w:t>
      </w:r>
      <w:r w:rsidRPr="00BE4144">
        <w:rPr>
          <w:rFonts w:cs="Times New Roman"/>
        </w:rPr>
        <w:t xml:space="preserve">, </w:t>
      </w:r>
      <w:r w:rsidR="0063709F" w:rsidRPr="00403D85">
        <w:rPr>
          <w:rFonts w:cs="Times New Roman"/>
          <w:smallCaps/>
        </w:rPr>
        <w:t>Holland &amp; Knight</w:t>
      </w:r>
      <w:r w:rsidR="0063709F" w:rsidRPr="00BE4144">
        <w:rPr>
          <w:rFonts w:cs="Times New Roman"/>
        </w:rPr>
        <w:t xml:space="preserve">, </w:t>
      </w:r>
      <w:r w:rsidRPr="00BE4144">
        <w:rPr>
          <w:rFonts w:cs="Times New Roman"/>
        </w:rPr>
        <w:t>July 25, 2023, https://www.hklaw.com/en/insights/publications/2023/07/the-ftc-is-regulating-ai-a-comprehensive-analysis#:~:text=%22There%20is%20no%20AI%20exemption,or%20unfair%20methods%20of%20competition.%22&amp;text=%22Although%20%5BAI%5D%20is%20novel,we%20are%20charge</w:t>
      </w:r>
      <w:hyperlink r:id="rId15" w:history="1">
        <w:r w:rsidR="00DD158D" w:rsidRPr="00DD1357">
          <w:rPr>
            <w:rStyle w:val="Hyperlink"/>
            <w:rFonts w:cs="Times New Roman"/>
          </w:rPr>
          <w:t>d%20with%20administering.%22.</w:t>
        </w:r>
      </w:hyperlink>
    </w:p>
  </w:footnote>
  <w:footnote w:id="81">
    <w:p w14:paraId="00717386" w14:textId="2D1D028E" w:rsidR="00B47C4A" w:rsidRPr="0063709F" w:rsidRDefault="00B47C4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63709F">
        <w:rPr>
          <w:rFonts w:eastAsia="Times New Roman" w:cs="Times New Roman"/>
          <w:color w:val="000000"/>
        </w:rPr>
        <w:t xml:space="preserve">Michael, </w:t>
      </w:r>
      <w:r w:rsidR="0063709F">
        <w:rPr>
          <w:rFonts w:eastAsia="Times New Roman" w:cs="Times New Roman"/>
          <w:i/>
          <w:iCs/>
          <w:color w:val="000000"/>
        </w:rPr>
        <w:t xml:space="preserve">supra </w:t>
      </w:r>
      <w:r w:rsidR="0063709F">
        <w:rPr>
          <w:rFonts w:eastAsia="Times New Roman" w:cs="Times New Roman"/>
          <w:color w:val="000000"/>
        </w:rPr>
        <w:t xml:space="preserve">note </w:t>
      </w:r>
      <w:r w:rsidR="0063709F">
        <w:rPr>
          <w:rFonts w:eastAsia="Times New Roman" w:cs="Times New Roman"/>
          <w:color w:val="000000"/>
        </w:rPr>
        <w:fldChar w:fldCharType="begin"/>
      </w:r>
      <w:r w:rsidR="0063709F">
        <w:rPr>
          <w:rFonts w:eastAsia="Times New Roman" w:cs="Times New Roman"/>
          <w:color w:val="000000"/>
        </w:rPr>
        <w:instrText xml:space="preserve"> NOTEREF _Ref142233523 \h </w:instrText>
      </w:r>
      <w:r w:rsidR="0063709F">
        <w:rPr>
          <w:rFonts w:eastAsia="Times New Roman" w:cs="Times New Roman"/>
          <w:color w:val="000000"/>
        </w:rPr>
      </w:r>
      <w:r w:rsidR="0063709F">
        <w:rPr>
          <w:rFonts w:eastAsia="Times New Roman" w:cs="Times New Roman"/>
          <w:color w:val="000000"/>
        </w:rPr>
        <w:fldChar w:fldCharType="separate"/>
      </w:r>
      <w:r w:rsidR="0063709F">
        <w:rPr>
          <w:rFonts w:eastAsia="Times New Roman" w:cs="Times New Roman"/>
          <w:color w:val="000000"/>
        </w:rPr>
        <w:t>29</w:t>
      </w:r>
      <w:r w:rsidR="0063709F">
        <w:rPr>
          <w:rFonts w:eastAsia="Times New Roman" w:cs="Times New Roman"/>
          <w:color w:val="000000"/>
        </w:rPr>
        <w:fldChar w:fldCharType="end"/>
      </w:r>
      <w:r w:rsidR="0063709F">
        <w:rPr>
          <w:rFonts w:eastAsia="Times New Roman" w:cs="Times New Roman"/>
          <w:color w:val="000000"/>
        </w:rPr>
        <w:t>, at __.</w:t>
      </w:r>
    </w:p>
  </w:footnote>
  <w:footnote w:id="82">
    <w:p w14:paraId="577BC96E" w14:textId="4CF7CACA" w:rsidR="00B47C4A" w:rsidRPr="0063709F" w:rsidRDefault="00B47C4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63709F">
        <w:rPr>
          <w:rFonts w:eastAsia="Times New Roman" w:cs="Times New Roman"/>
          <w:color w:val="000000"/>
        </w:rPr>
        <w:t xml:space="preserve">Bremer, </w:t>
      </w:r>
      <w:r w:rsidR="0063709F">
        <w:rPr>
          <w:rFonts w:eastAsia="Times New Roman" w:cs="Times New Roman"/>
          <w:i/>
          <w:iCs/>
          <w:color w:val="000000"/>
        </w:rPr>
        <w:t xml:space="preserve">supra </w:t>
      </w:r>
      <w:r w:rsidR="0063709F">
        <w:rPr>
          <w:rFonts w:eastAsia="Times New Roman" w:cs="Times New Roman"/>
          <w:color w:val="000000"/>
        </w:rPr>
        <w:t xml:space="preserve">note </w:t>
      </w:r>
      <w:r w:rsidR="00DD158D">
        <w:rPr>
          <w:rFonts w:eastAsia="Times New Roman" w:cs="Times New Roman"/>
          <w:color w:val="000000"/>
        </w:rPr>
        <w:t>[8], at __.</w:t>
      </w:r>
    </w:p>
  </w:footnote>
  <w:footnote w:id="83">
    <w:p w14:paraId="12965F1E" w14:textId="77B27ABA" w:rsidR="00B47C4A" w:rsidRPr="00BE4144" w:rsidRDefault="00B47C4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DD158D">
        <w:rPr>
          <w:rFonts w:eastAsia="Times New Roman" w:cs="Times New Roman"/>
          <w:color w:val="000000"/>
        </w:rPr>
        <w:t xml:space="preserve">Hannah J. </w:t>
      </w:r>
      <w:r w:rsidRPr="00BE4144">
        <w:rPr>
          <w:rFonts w:eastAsia="Times New Roman" w:cs="Times New Roman"/>
          <w:color w:val="000000"/>
        </w:rPr>
        <w:t>Wiseman</w:t>
      </w:r>
      <w:r w:rsidR="00DD158D">
        <w:rPr>
          <w:rFonts w:eastAsia="Times New Roman" w:cs="Times New Roman"/>
          <w:color w:val="000000"/>
        </w:rPr>
        <w:t xml:space="preserve">, </w:t>
      </w:r>
      <w:r w:rsidR="00DD158D">
        <w:rPr>
          <w:rFonts w:eastAsia="Times New Roman" w:cs="Times New Roman"/>
          <w:i/>
          <w:iCs/>
          <w:color w:val="000000"/>
        </w:rPr>
        <w:t>Regulatory Adaptation in Fractured Appalachia</w:t>
      </w:r>
      <w:r w:rsidR="00DD158D">
        <w:rPr>
          <w:rFonts w:eastAsia="Times New Roman" w:cs="Times New Roman"/>
          <w:color w:val="000000"/>
        </w:rPr>
        <w:t xml:space="preserve">, 21 </w:t>
      </w:r>
      <w:r w:rsidR="00DD158D" w:rsidRPr="00403D85">
        <w:rPr>
          <w:rFonts w:eastAsia="Times New Roman" w:cs="Times New Roman"/>
          <w:smallCaps/>
          <w:color w:val="000000"/>
        </w:rPr>
        <w:t xml:space="preserve">Vill. </w:t>
      </w:r>
      <w:proofErr w:type="spellStart"/>
      <w:r w:rsidR="00DD158D" w:rsidRPr="00403D85">
        <w:rPr>
          <w:rFonts w:eastAsia="Times New Roman" w:cs="Times New Roman"/>
          <w:smallCaps/>
          <w:color w:val="000000"/>
        </w:rPr>
        <w:t>Envtl</w:t>
      </w:r>
      <w:proofErr w:type="spellEnd"/>
      <w:r w:rsidR="00DD158D" w:rsidRPr="00403D85">
        <w:rPr>
          <w:rFonts w:eastAsia="Times New Roman" w:cs="Times New Roman"/>
          <w:smallCaps/>
          <w:color w:val="000000"/>
        </w:rPr>
        <w:t>. L. J.</w:t>
      </w:r>
      <w:r w:rsidR="00DD158D">
        <w:rPr>
          <w:rFonts w:eastAsia="Times New Roman" w:cs="Times New Roman"/>
          <w:color w:val="000000"/>
        </w:rPr>
        <w:t xml:space="preserve"> 229</w:t>
      </w:r>
      <w:r w:rsidRPr="00BE4144">
        <w:rPr>
          <w:rFonts w:eastAsia="Times New Roman" w:cs="Times New Roman"/>
          <w:color w:val="000000"/>
        </w:rPr>
        <w:t xml:space="preserve"> </w:t>
      </w:r>
      <w:r w:rsidR="00DD158D">
        <w:rPr>
          <w:rFonts w:eastAsia="Times New Roman" w:cs="Times New Roman"/>
          <w:color w:val="000000"/>
        </w:rPr>
        <w:t>(</w:t>
      </w:r>
      <w:r w:rsidRPr="00BE4144">
        <w:rPr>
          <w:rFonts w:eastAsia="Times New Roman" w:cs="Times New Roman"/>
          <w:color w:val="000000"/>
        </w:rPr>
        <w:t>2010</w:t>
      </w:r>
      <w:r w:rsidR="00DD158D">
        <w:rPr>
          <w:rFonts w:eastAsia="Times New Roman" w:cs="Times New Roman"/>
          <w:color w:val="000000"/>
        </w:rPr>
        <w:t>)</w:t>
      </w:r>
      <w:r w:rsidRPr="00BE4144">
        <w:rPr>
          <w:rFonts w:eastAsia="Times New Roman" w:cs="Times New Roman"/>
          <w:color w:val="000000"/>
        </w:rPr>
        <w:t>; Leiter</w:t>
      </w:r>
      <w:r w:rsidR="00DD158D">
        <w:rPr>
          <w:rFonts w:eastAsia="Times New Roman" w:cs="Times New Roman"/>
          <w:color w:val="000000"/>
        </w:rPr>
        <w:t xml:space="preserve">, </w:t>
      </w:r>
      <w:r w:rsidR="00DD158D">
        <w:rPr>
          <w:rFonts w:eastAsia="Times New Roman" w:cs="Times New Roman"/>
          <w:i/>
          <w:iCs/>
          <w:color w:val="000000"/>
        </w:rPr>
        <w:t xml:space="preserve">supra </w:t>
      </w:r>
      <w:r w:rsidR="00DD158D">
        <w:rPr>
          <w:rFonts w:eastAsia="Times New Roman" w:cs="Times New Roman"/>
          <w:color w:val="000000"/>
        </w:rPr>
        <w:t xml:space="preserve">note </w:t>
      </w:r>
      <w:r w:rsidR="00DD158D">
        <w:rPr>
          <w:rFonts w:eastAsia="Times New Roman" w:cs="Times New Roman"/>
          <w:color w:val="000000"/>
        </w:rPr>
        <w:fldChar w:fldCharType="begin"/>
      </w:r>
      <w:r w:rsidR="00DD158D">
        <w:rPr>
          <w:rFonts w:eastAsia="Times New Roman" w:cs="Times New Roman"/>
          <w:color w:val="000000"/>
        </w:rPr>
        <w:instrText xml:space="preserve"> NOTEREF _Ref142231869 \h </w:instrText>
      </w:r>
      <w:r w:rsidR="00DD158D">
        <w:rPr>
          <w:rFonts w:eastAsia="Times New Roman" w:cs="Times New Roman"/>
          <w:color w:val="000000"/>
        </w:rPr>
      </w:r>
      <w:r w:rsidR="00DD158D">
        <w:rPr>
          <w:rFonts w:eastAsia="Times New Roman" w:cs="Times New Roman"/>
          <w:color w:val="000000"/>
        </w:rPr>
        <w:fldChar w:fldCharType="separate"/>
      </w:r>
      <w:r w:rsidR="00DD158D">
        <w:rPr>
          <w:rFonts w:eastAsia="Times New Roman" w:cs="Times New Roman"/>
          <w:color w:val="000000"/>
        </w:rPr>
        <w:t>10</w:t>
      </w:r>
      <w:r w:rsidR="00DD158D">
        <w:rPr>
          <w:rFonts w:eastAsia="Times New Roman" w:cs="Times New Roman"/>
          <w:color w:val="000000"/>
        </w:rPr>
        <w:fldChar w:fldCharType="end"/>
      </w:r>
      <w:r w:rsidR="00DD158D">
        <w:rPr>
          <w:rFonts w:eastAsia="Times New Roman" w:cs="Times New Roman"/>
          <w:color w:val="000000"/>
        </w:rPr>
        <w:t>, at __</w:t>
      </w:r>
      <w:r w:rsidR="00733AE8" w:rsidRPr="00BE4144">
        <w:rPr>
          <w:rFonts w:eastAsia="Times New Roman" w:cs="Times New Roman"/>
          <w:color w:val="000000"/>
        </w:rPr>
        <w:t xml:space="preserve">; Tara Righetti, Hannah Wiseman, and James Coleman, The New Oil and Gas Governance, </w:t>
      </w:r>
      <w:r w:rsidR="00C23C43" w:rsidRPr="00BE4144">
        <w:rPr>
          <w:rFonts w:eastAsia="Times New Roman" w:cs="Times New Roman"/>
          <w:color w:val="000000"/>
        </w:rPr>
        <w:t xml:space="preserve">130 </w:t>
      </w:r>
      <w:r w:rsidR="00C23C43" w:rsidRPr="00403D85">
        <w:rPr>
          <w:rFonts w:eastAsia="Times New Roman" w:cs="Times New Roman"/>
          <w:smallCaps/>
          <w:color w:val="000000"/>
        </w:rPr>
        <w:t>Yale L. J. Forum</w:t>
      </w:r>
      <w:r w:rsidR="00C23C43" w:rsidRPr="00BE4144">
        <w:rPr>
          <w:rFonts w:eastAsia="Times New Roman" w:cs="Times New Roman"/>
          <w:color w:val="000000"/>
        </w:rPr>
        <w:t xml:space="preserve"> </w:t>
      </w:r>
      <w:r w:rsidR="000C6AC7" w:rsidRPr="00BE4144">
        <w:rPr>
          <w:rFonts w:eastAsia="Times New Roman" w:cs="Times New Roman"/>
          <w:color w:val="000000"/>
        </w:rPr>
        <w:t xml:space="preserve">51, 52-3 (2020). </w:t>
      </w:r>
    </w:p>
  </w:footnote>
  <w:footnote w:id="84">
    <w:p w14:paraId="134BEDAF" w14:textId="6BFA57D0" w:rsidR="001E1A78" w:rsidRPr="00BE4144" w:rsidRDefault="001E1A78"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6736CD" w:rsidRPr="00403D85">
        <w:rPr>
          <w:rFonts w:cs="Times New Roman"/>
          <w:i/>
          <w:iCs/>
        </w:rPr>
        <w:t>How two small New York towns have shaken up the national fight over fracking</w:t>
      </w:r>
      <w:r w:rsidR="006736CD" w:rsidRPr="00BE4144">
        <w:rPr>
          <w:rFonts w:cs="Times New Roman"/>
        </w:rPr>
        <w:t xml:space="preserve">, </w:t>
      </w:r>
      <w:r w:rsidR="006736CD" w:rsidRPr="00403D85">
        <w:rPr>
          <w:rFonts w:cs="Times New Roman"/>
          <w:smallCaps/>
        </w:rPr>
        <w:t>Wash.</w:t>
      </w:r>
      <w:r w:rsidR="006736CD" w:rsidRPr="00BE4144">
        <w:rPr>
          <w:rFonts w:cs="Times New Roman"/>
        </w:rPr>
        <w:t xml:space="preserve"> Po</w:t>
      </w:r>
      <w:r w:rsidR="006736CD" w:rsidRPr="00403D85">
        <w:rPr>
          <w:rFonts w:cs="Times New Roman"/>
          <w:smallCaps/>
        </w:rPr>
        <w:t>st</w:t>
      </w:r>
      <w:r w:rsidR="006736CD" w:rsidRPr="00BE4144">
        <w:rPr>
          <w:rFonts w:cs="Times New Roman"/>
        </w:rPr>
        <w:t xml:space="preserve">, July 2014 </w:t>
      </w:r>
      <w:r w:rsidR="00930DAF" w:rsidRPr="00BE4144">
        <w:rPr>
          <w:rFonts w:cs="Times New Roman"/>
        </w:rPr>
        <w:t xml:space="preserve">(noting more than 400 local governments that had banned or placed moratoria on hydraulic fracturing). </w:t>
      </w:r>
    </w:p>
  </w:footnote>
  <w:footnote w:id="85">
    <w:p w14:paraId="24A8C713" w14:textId="417C7BD3" w:rsidR="00B47C4A" w:rsidRPr="00BE4144" w:rsidRDefault="00B47C4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 xml:space="preserve">Leiter </w:t>
      </w:r>
      <w:r w:rsidR="00DD158D">
        <w:rPr>
          <w:rFonts w:eastAsia="Times New Roman" w:cs="Times New Roman"/>
          <w:i/>
          <w:iCs/>
          <w:color w:val="000000"/>
        </w:rPr>
        <w:t xml:space="preserve">supra </w:t>
      </w:r>
      <w:r w:rsidR="00DD158D">
        <w:rPr>
          <w:rFonts w:eastAsia="Times New Roman" w:cs="Times New Roman"/>
          <w:color w:val="000000"/>
        </w:rPr>
        <w:t xml:space="preserve">note </w:t>
      </w:r>
      <w:r w:rsidR="00DD158D">
        <w:rPr>
          <w:rFonts w:eastAsia="Times New Roman" w:cs="Times New Roman"/>
          <w:color w:val="000000"/>
        </w:rPr>
        <w:fldChar w:fldCharType="begin"/>
      </w:r>
      <w:r w:rsidR="00DD158D">
        <w:rPr>
          <w:rFonts w:eastAsia="Times New Roman" w:cs="Times New Roman"/>
          <w:color w:val="000000"/>
        </w:rPr>
        <w:instrText xml:space="preserve"> NOTEREF _Ref142231869 \h </w:instrText>
      </w:r>
      <w:r w:rsidR="00DD158D">
        <w:rPr>
          <w:rFonts w:eastAsia="Times New Roman" w:cs="Times New Roman"/>
          <w:color w:val="000000"/>
        </w:rPr>
      </w:r>
      <w:r w:rsidR="00DD158D">
        <w:rPr>
          <w:rFonts w:eastAsia="Times New Roman" w:cs="Times New Roman"/>
          <w:color w:val="000000"/>
        </w:rPr>
        <w:fldChar w:fldCharType="separate"/>
      </w:r>
      <w:r w:rsidR="00DD158D">
        <w:rPr>
          <w:rFonts w:eastAsia="Times New Roman" w:cs="Times New Roman"/>
          <w:color w:val="000000"/>
        </w:rPr>
        <w:t>10</w:t>
      </w:r>
      <w:r w:rsidR="00DD158D">
        <w:rPr>
          <w:rFonts w:eastAsia="Times New Roman" w:cs="Times New Roman"/>
          <w:color w:val="000000"/>
        </w:rPr>
        <w:fldChar w:fldCharType="end"/>
      </w:r>
      <w:r w:rsidR="00DD158D">
        <w:rPr>
          <w:rFonts w:eastAsia="Times New Roman" w:cs="Times New Roman"/>
          <w:color w:val="000000"/>
        </w:rPr>
        <w:t>, at __</w:t>
      </w:r>
      <w:r w:rsidRPr="00BE4144">
        <w:rPr>
          <w:rFonts w:eastAsia="Times New Roman" w:cs="Times New Roman"/>
          <w:color w:val="000000"/>
        </w:rPr>
        <w:t xml:space="preserve">; Wiseman &amp; </w:t>
      </w:r>
      <w:proofErr w:type="spellStart"/>
      <w:r w:rsidRPr="00BE4144">
        <w:rPr>
          <w:rFonts w:eastAsia="Times New Roman" w:cs="Times New Roman"/>
          <w:color w:val="000000"/>
        </w:rPr>
        <w:t>Gradijan</w:t>
      </w:r>
      <w:proofErr w:type="spellEnd"/>
      <w:r w:rsidR="00DD158D">
        <w:rPr>
          <w:rFonts w:eastAsia="Times New Roman" w:cs="Times New Roman"/>
          <w:color w:val="000000"/>
        </w:rPr>
        <w:t xml:space="preserve">, </w:t>
      </w:r>
      <w:r w:rsidR="00DD158D">
        <w:rPr>
          <w:rFonts w:eastAsia="Times New Roman" w:cs="Times New Roman"/>
          <w:i/>
          <w:iCs/>
          <w:color w:val="000000"/>
        </w:rPr>
        <w:t xml:space="preserve">supra </w:t>
      </w:r>
      <w:r w:rsidR="00DD158D">
        <w:rPr>
          <w:rFonts w:eastAsia="Times New Roman" w:cs="Times New Roman"/>
          <w:color w:val="000000"/>
        </w:rPr>
        <w:t xml:space="preserve">note </w:t>
      </w:r>
      <w:r w:rsidR="00650632">
        <w:rPr>
          <w:rFonts w:eastAsia="Times New Roman" w:cs="Times New Roman"/>
          <w:color w:val="000000"/>
          <w:highlight w:val="yellow"/>
        </w:rPr>
        <w:fldChar w:fldCharType="begin"/>
      </w:r>
      <w:r w:rsidR="00650632">
        <w:rPr>
          <w:rFonts w:eastAsia="Times New Roman" w:cs="Times New Roman"/>
          <w:color w:val="000000"/>
        </w:rPr>
        <w:instrText xml:space="preserve"> NOTEREF _Ref142236845 \h </w:instrText>
      </w:r>
      <w:r w:rsidR="00650632">
        <w:rPr>
          <w:rFonts w:eastAsia="Times New Roman" w:cs="Times New Roman"/>
          <w:color w:val="000000"/>
          <w:highlight w:val="yellow"/>
        </w:rPr>
      </w:r>
      <w:r w:rsidR="00650632">
        <w:rPr>
          <w:rFonts w:eastAsia="Times New Roman" w:cs="Times New Roman"/>
          <w:color w:val="000000"/>
          <w:highlight w:val="yellow"/>
        </w:rPr>
        <w:fldChar w:fldCharType="separate"/>
      </w:r>
      <w:r w:rsidR="00650632">
        <w:rPr>
          <w:rFonts w:eastAsia="Times New Roman" w:cs="Times New Roman"/>
          <w:color w:val="000000"/>
        </w:rPr>
        <w:t>36</w:t>
      </w:r>
      <w:r w:rsidR="00650632">
        <w:rPr>
          <w:rFonts w:eastAsia="Times New Roman" w:cs="Times New Roman"/>
          <w:color w:val="000000"/>
          <w:highlight w:val="yellow"/>
        </w:rPr>
        <w:fldChar w:fldCharType="end"/>
      </w:r>
      <w:r w:rsidR="00650632">
        <w:rPr>
          <w:rFonts w:eastAsia="Times New Roman" w:cs="Times New Roman"/>
          <w:color w:val="000000"/>
        </w:rPr>
        <w:t>, at __.</w:t>
      </w:r>
    </w:p>
  </w:footnote>
  <w:footnote w:id="86">
    <w:p w14:paraId="6F43FCC5" w14:textId="5FA72398" w:rsidR="00B47C4A" w:rsidRPr="00A15CFD" w:rsidRDefault="00B47C4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A15CFD">
        <w:rPr>
          <w:rFonts w:eastAsia="Times New Roman" w:cs="Times New Roman"/>
          <w:color w:val="000000"/>
        </w:rPr>
        <w:t xml:space="preserve">John J. </w:t>
      </w:r>
      <w:proofErr w:type="spellStart"/>
      <w:r w:rsidR="00A15CFD">
        <w:rPr>
          <w:rFonts w:eastAsia="Times New Roman" w:cs="Times New Roman"/>
          <w:color w:val="000000"/>
        </w:rPr>
        <w:t>Koehr</w:t>
      </w:r>
      <w:proofErr w:type="spellEnd"/>
      <w:r w:rsidR="00A15CFD">
        <w:rPr>
          <w:rFonts w:eastAsia="Times New Roman" w:cs="Times New Roman"/>
          <w:color w:val="000000"/>
        </w:rPr>
        <w:t xml:space="preserve">, </w:t>
      </w:r>
      <w:r w:rsidR="00A15CFD">
        <w:rPr>
          <w:rFonts w:eastAsia="Times New Roman" w:cs="Times New Roman"/>
          <w:i/>
          <w:iCs/>
          <w:color w:val="000000"/>
        </w:rPr>
        <w:t>Commercialization through Standards Development</w:t>
      </w:r>
      <w:r w:rsidR="00A15CFD">
        <w:rPr>
          <w:rFonts w:eastAsia="Times New Roman" w:cs="Times New Roman"/>
          <w:color w:val="000000"/>
        </w:rPr>
        <w:t xml:space="preserve">, </w:t>
      </w:r>
      <w:r w:rsidR="00A15CFD" w:rsidRPr="00403D85">
        <w:rPr>
          <w:rFonts w:eastAsia="Times New Roman" w:cs="Times New Roman"/>
          <w:smallCaps/>
          <w:color w:val="000000"/>
        </w:rPr>
        <w:t>Mech. Eng’g Mag</w:t>
      </w:r>
      <w:r w:rsidR="00A15CFD">
        <w:rPr>
          <w:rFonts w:eastAsia="Times New Roman" w:cs="Times New Roman"/>
          <w:color w:val="000000"/>
        </w:rPr>
        <w:t xml:space="preserve">., June 2009, at 42. </w:t>
      </w:r>
    </w:p>
  </w:footnote>
  <w:footnote w:id="87">
    <w:p w14:paraId="78880842" w14:textId="5B1F2A56" w:rsidR="00B762ED" w:rsidRPr="00BE4144" w:rsidRDefault="00B762E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D628FE" w:rsidRPr="00BE4144">
        <w:rPr>
          <w:rFonts w:cs="Times New Roman"/>
        </w:rPr>
        <w:t xml:space="preserve">Blair Levin and Larry Downes, Who Is Going to Regulate </w:t>
      </w:r>
      <w:proofErr w:type="gramStart"/>
      <w:r w:rsidR="00D628FE" w:rsidRPr="00BE4144">
        <w:rPr>
          <w:rFonts w:cs="Times New Roman"/>
        </w:rPr>
        <w:t>AI?,</w:t>
      </w:r>
      <w:proofErr w:type="gramEnd"/>
      <w:r w:rsidR="00D628FE" w:rsidRPr="00BE4144">
        <w:rPr>
          <w:rFonts w:cs="Times New Roman"/>
        </w:rPr>
        <w:t xml:space="preserve"> </w:t>
      </w:r>
      <w:r w:rsidR="00D628FE" w:rsidRPr="00403D85">
        <w:rPr>
          <w:rFonts w:cs="Times New Roman"/>
          <w:smallCaps/>
        </w:rPr>
        <w:t>Harv. Bus. Rev.</w:t>
      </w:r>
      <w:r w:rsidR="00D628FE" w:rsidRPr="00BE4144">
        <w:rPr>
          <w:rFonts w:cs="Times New Roman"/>
        </w:rPr>
        <w:t>, May 19, 2023, https://hbr.org/2023/05/who-is-going-to-regulate-ai.</w:t>
      </w:r>
    </w:p>
  </w:footnote>
  <w:footnote w:id="88">
    <w:p w14:paraId="22E35463" w14:textId="14A52685" w:rsidR="00B47C4A" w:rsidRPr="00BE4144" w:rsidRDefault="00B47C4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Stein</w:t>
      </w:r>
      <w:r w:rsidR="00A15CFD">
        <w:rPr>
          <w:rFonts w:eastAsia="Times New Roman" w:cs="Times New Roman"/>
          <w:color w:val="000000"/>
        </w:rPr>
        <w:t xml:space="preserve">, </w:t>
      </w:r>
      <w:r w:rsidR="00A15CFD">
        <w:rPr>
          <w:rFonts w:eastAsia="Times New Roman" w:cs="Times New Roman"/>
          <w:i/>
          <w:iCs/>
          <w:color w:val="000000"/>
        </w:rPr>
        <w:t xml:space="preserve">supra </w:t>
      </w:r>
      <w:r w:rsidR="00A15CFD">
        <w:rPr>
          <w:rFonts w:eastAsia="Times New Roman" w:cs="Times New Roman"/>
          <w:color w:val="000000"/>
        </w:rPr>
        <w:t xml:space="preserve">note </w:t>
      </w:r>
      <w:r w:rsidR="00A15CFD">
        <w:rPr>
          <w:rFonts w:eastAsia="Times New Roman" w:cs="Times New Roman"/>
          <w:color w:val="000000"/>
        </w:rPr>
        <w:fldChar w:fldCharType="begin"/>
      </w:r>
      <w:r w:rsidR="00A15CFD">
        <w:rPr>
          <w:rFonts w:eastAsia="Times New Roman" w:cs="Times New Roman"/>
          <w:color w:val="000000"/>
        </w:rPr>
        <w:instrText xml:space="preserve"> NOTEREF _Ref142235299 \h </w:instrText>
      </w:r>
      <w:r w:rsidR="00A15CFD">
        <w:rPr>
          <w:rFonts w:eastAsia="Times New Roman" w:cs="Times New Roman"/>
          <w:color w:val="000000"/>
        </w:rPr>
      </w:r>
      <w:r w:rsidR="00A15CFD">
        <w:rPr>
          <w:rFonts w:eastAsia="Times New Roman" w:cs="Times New Roman"/>
          <w:color w:val="000000"/>
        </w:rPr>
        <w:fldChar w:fldCharType="separate"/>
      </w:r>
      <w:r w:rsidR="00A15CFD">
        <w:rPr>
          <w:rFonts w:eastAsia="Times New Roman" w:cs="Times New Roman"/>
          <w:color w:val="000000"/>
        </w:rPr>
        <w:t>11</w:t>
      </w:r>
      <w:r w:rsidR="00A15CFD">
        <w:rPr>
          <w:rFonts w:eastAsia="Times New Roman" w:cs="Times New Roman"/>
          <w:color w:val="000000"/>
        </w:rPr>
        <w:fldChar w:fldCharType="end"/>
      </w:r>
      <w:r w:rsidR="00A15CFD">
        <w:rPr>
          <w:rFonts w:eastAsia="Times New Roman" w:cs="Times New Roman"/>
          <w:color w:val="000000"/>
        </w:rPr>
        <w:t>, at __.</w:t>
      </w:r>
    </w:p>
  </w:footnote>
  <w:footnote w:id="89">
    <w:p w14:paraId="40924723" w14:textId="4CFA7585" w:rsidR="00B47C4A" w:rsidRPr="00BE4144" w:rsidRDefault="00B47C4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Leite</w:t>
      </w:r>
      <w:r w:rsidR="00A15CFD">
        <w:rPr>
          <w:rFonts w:eastAsia="Times New Roman" w:cs="Times New Roman"/>
          <w:color w:val="000000"/>
        </w:rPr>
        <w:t xml:space="preserve">r, </w:t>
      </w:r>
      <w:r w:rsidR="00A15CFD">
        <w:rPr>
          <w:rFonts w:eastAsia="Times New Roman" w:cs="Times New Roman"/>
          <w:i/>
          <w:iCs/>
          <w:color w:val="000000"/>
        </w:rPr>
        <w:t xml:space="preserve">supra </w:t>
      </w:r>
      <w:r w:rsidR="00A15CFD">
        <w:rPr>
          <w:rFonts w:eastAsia="Times New Roman" w:cs="Times New Roman"/>
          <w:color w:val="000000"/>
        </w:rPr>
        <w:t xml:space="preserve">note </w:t>
      </w:r>
      <w:r w:rsidR="00A15CFD">
        <w:rPr>
          <w:rFonts w:eastAsia="Times New Roman" w:cs="Times New Roman"/>
          <w:color w:val="000000"/>
        </w:rPr>
        <w:fldChar w:fldCharType="begin"/>
      </w:r>
      <w:r w:rsidR="00A15CFD">
        <w:rPr>
          <w:rFonts w:eastAsia="Times New Roman" w:cs="Times New Roman"/>
          <w:color w:val="000000"/>
        </w:rPr>
        <w:instrText xml:space="preserve"> NOTEREF _Ref142231869 \h </w:instrText>
      </w:r>
      <w:r w:rsidR="00A15CFD">
        <w:rPr>
          <w:rFonts w:eastAsia="Times New Roman" w:cs="Times New Roman"/>
          <w:color w:val="000000"/>
        </w:rPr>
      </w:r>
      <w:r w:rsidR="00A15CFD">
        <w:rPr>
          <w:rFonts w:eastAsia="Times New Roman" w:cs="Times New Roman"/>
          <w:color w:val="000000"/>
        </w:rPr>
        <w:fldChar w:fldCharType="separate"/>
      </w:r>
      <w:r w:rsidR="00A15CFD">
        <w:rPr>
          <w:rFonts w:eastAsia="Times New Roman" w:cs="Times New Roman"/>
          <w:color w:val="000000"/>
        </w:rPr>
        <w:t>10</w:t>
      </w:r>
      <w:r w:rsidR="00A15CFD">
        <w:rPr>
          <w:rFonts w:eastAsia="Times New Roman" w:cs="Times New Roman"/>
          <w:color w:val="000000"/>
        </w:rPr>
        <w:fldChar w:fldCharType="end"/>
      </w:r>
      <w:r w:rsidR="00A15CFD">
        <w:rPr>
          <w:rFonts w:eastAsia="Times New Roman" w:cs="Times New Roman"/>
          <w:color w:val="000000"/>
        </w:rPr>
        <w:t>, at __.</w:t>
      </w:r>
    </w:p>
  </w:footnote>
  <w:footnote w:id="90">
    <w:p w14:paraId="495E400A" w14:textId="75A72CBD" w:rsidR="00B47C4A" w:rsidRPr="00BE4144" w:rsidRDefault="00B47C4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Adler</w:t>
      </w:r>
      <w:r w:rsidR="00A15CFD">
        <w:rPr>
          <w:rFonts w:eastAsia="Times New Roman" w:cs="Times New Roman"/>
          <w:color w:val="000000"/>
        </w:rPr>
        <w:t xml:space="preserve">, </w:t>
      </w:r>
      <w:r w:rsidR="00A15CFD">
        <w:rPr>
          <w:rFonts w:eastAsia="Times New Roman" w:cs="Times New Roman"/>
          <w:i/>
          <w:iCs/>
          <w:color w:val="000000"/>
        </w:rPr>
        <w:t xml:space="preserve">supra </w:t>
      </w:r>
      <w:r w:rsidR="00A15CFD">
        <w:rPr>
          <w:rFonts w:eastAsia="Times New Roman" w:cs="Times New Roman"/>
          <w:color w:val="000000"/>
        </w:rPr>
        <w:t xml:space="preserve">note </w:t>
      </w:r>
      <w:r w:rsidR="00A15CFD">
        <w:rPr>
          <w:rFonts w:eastAsia="Times New Roman" w:cs="Times New Roman"/>
          <w:color w:val="000000"/>
        </w:rPr>
        <w:fldChar w:fldCharType="begin"/>
      </w:r>
      <w:r w:rsidR="00A15CFD">
        <w:rPr>
          <w:rFonts w:eastAsia="Times New Roman" w:cs="Times New Roman"/>
          <w:color w:val="000000"/>
        </w:rPr>
        <w:instrText xml:space="preserve"> NOTEREF _Ref142235409 \h </w:instrText>
      </w:r>
      <w:r w:rsidR="00A15CFD">
        <w:rPr>
          <w:rFonts w:eastAsia="Times New Roman" w:cs="Times New Roman"/>
          <w:color w:val="000000"/>
        </w:rPr>
      </w:r>
      <w:r w:rsidR="00A15CFD">
        <w:rPr>
          <w:rFonts w:eastAsia="Times New Roman" w:cs="Times New Roman"/>
          <w:color w:val="000000"/>
        </w:rPr>
        <w:fldChar w:fldCharType="separate"/>
      </w:r>
      <w:r w:rsidR="00A15CFD">
        <w:rPr>
          <w:rFonts w:eastAsia="Times New Roman" w:cs="Times New Roman"/>
          <w:color w:val="000000"/>
        </w:rPr>
        <w:t>24</w:t>
      </w:r>
      <w:r w:rsidR="00A15CFD">
        <w:rPr>
          <w:rFonts w:eastAsia="Times New Roman" w:cs="Times New Roman"/>
          <w:color w:val="000000"/>
        </w:rPr>
        <w:fldChar w:fldCharType="end"/>
      </w:r>
      <w:r w:rsidR="00A15CFD">
        <w:rPr>
          <w:rFonts w:eastAsia="Times New Roman" w:cs="Times New Roman"/>
          <w:color w:val="000000"/>
        </w:rPr>
        <w:t>, at __.</w:t>
      </w:r>
    </w:p>
  </w:footnote>
  <w:footnote w:id="91">
    <w:p w14:paraId="072FFFCD" w14:textId="3873E48E" w:rsidR="00B47C4A" w:rsidRPr="00BE4144" w:rsidRDefault="00B47C4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ASTM International</w:t>
      </w:r>
      <w:r w:rsidR="00A15CFD">
        <w:rPr>
          <w:rFonts w:eastAsia="Times New Roman" w:cs="Times New Roman"/>
          <w:color w:val="000000"/>
        </w:rPr>
        <w:t xml:space="preserve">, </w:t>
      </w:r>
      <w:r w:rsidR="00A15CFD">
        <w:rPr>
          <w:rFonts w:eastAsia="Times New Roman" w:cs="Times New Roman"/>
          <w:i/>
          <w:iCs/>
          <w:color w:val="000000"/>
        </w:rPr>
        <w:t xml:space="preserve">supra </w:t>
      </w:r>
      <w:r w:rsidR="00A15CFD">
        <w:rPr>
          <w:rFonts w:eastAsia="Times New Roman" w:cs="Times New Roman"/>
          <w:color w:val="000000"/>
        </w:rPr>
        <w:t xml:space="preserve">note </w:t>
      </w:r>
      <w:r w:rsidR="00A15CFD">
        <w:rPr>
          <w:rFonts w:eastAsia="Times New Roman" w:cs="Times New Roman"/>
          <w:color w:val="000000"/>
        </w:rPr>
        <w:fldChar w:fldCharType="begin"/>
      </w:r>
      <w:r w:rsidR="00A15CFD">
        <w:rPr>
          <w:rFonts w:eastAsia="Times New Roman" w:cs="Times New Roman"/>
          <w:color w:val="000000"/>
        </w:rPr>
        <w:instrText xml:space="preserve"> NOTEREF _Ref142235523 \h </w:instrText>
      </w:r>
      <w:r w:rsidR="00A15CFD">
        <w:rPr>
          <w:rFonts w:eastAsia="Times New Roman" w:cs="Times New Roman"/>
          <w:color w:val="000000"/>
        </w:rPr>
      </w:r>
      <w:r w:rsidR="00A15CFD">
        <w:rPr>
          <w:rFonts w:eastAsia="Times New Roman" w:cs="Times New Roman"/>
          <w:color w:val="000000"/>
        </w:rPr>
        <w:fldChar w:fldCharType="separate"/>
      </w:r>
      <w:r w:rsidR="00A15CFD">
        <w:rPr>
          <w:rFonts w:eastAsia="Times New Roman" w:cs="Times New Roman"/>
          <w:color w:val="000000"/>
        </w:rPr>
        <w:t>64</w:t>
      </w:r>
      <w:r w:rsidR="00A15CFD">
        <w:rPr>
          <w:rFonts w:eastAsia="Times New Roman" w:cs="Times New Roman"/>
          <w:color w:val="000000"/>
        </w:rPr>
        <w:fldChar w:fldCharType="end"/>
      </w:r>
      <w:r w:rsidR="00A15CFD">
        <w:rPr>
          <w:rFonts w:eastAsia="Times New Roman" w:cs="Times New Roman"/>
          <w:color w:val="000000"/>
        </w:rPr>
        <w:t>.</w:t>
      </w:r>
    </w:p>
  </w:footnote>
  <w:footnote w:id="92">
    <w:p w14:paraId="76A6EA85" w14:textId="02FAE7F5" w:rsidR="00167041" w:rsidRPr="00BE4144" w:rsidRDefault="00167041"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EF2F87">
        <w:rPr>
          <w:rFonts w:cs="Times New Roman"/>
        </w:rPr>
        <w:t xml:space="preserve">Joel R. </w:t>
      </w:r>
      <w:proofErr w:type="spellStart"/>
      <w:r w:rsidRPr="00BE4144">
        <w:rPr>
          <w:rFonts w:eastAsia="Times New Roman" w:cs="Times New Roman"/>
          <w:color w:val="000000"/>
        </w:rPr>
        <w:t>Reidenberg</w:t>
      </w:r>
      <w:proofErr w:type="spellEnd"/>
      <w:r w:rsidR="00EF2F87">
        <w:rPr>
          <w:rFonts w:eastAsia="Times New Roman" w:cs="Times New Roman"/>
          <w:color w:val="000000"/>
        </w:rPr>
        <w:t xml:space="preserve">, </w:t>
      </w:r>
      <w:r w:rsidR="00EF2F87" w:rsidRPr="00403D85">
        <w:rPr>
          <w:rFonts w:eastAsia="Times New Roman" w:cs="Times New Roman"/>
          <w:i/>
          <w:iCs/>
          <w:color w:val="000000"/>
        </w:rPr>
        <w:t>Governing Networks and Rule-Making in Cyberspace</w:t>
      </w:r>
      <w:r w:rsidR="00EF2F87">
        <w:rPr>
          <w:rFonts w:eastAsia="Times New Roman" w:cs="Times New Roman"/>
          <w:color w:val="000000"/>
        </w:rPr>
        <w:t>, 45 Emory L. J. 911, 914</w:t>
      </w:r>
      <w:r w:rsidRPr="00BE4144">
        <w:rPr>
          <w:rFonts w:eastAsia="Times New Roman" w:cs="Times New Roman"/>
          <w:color w:val="000000"/>
        </w:rPr>
        <w:t xml:space="preserve"> </w:t>
      </w:r>
      <w:r w:rsidR="00EF2F87">
        <w:rPr>
          <w:rFonts w:eastAsia="Times New Roman" w:cs="Times New Roman"/>
          <w:color w:val="000000"/>
        </w:rPr>
        <w:t>(</w:t>
      </w:r>
      <w:r w:rsidRPr="00BE4144">
        <w:rPr>
          <w:rFonts w:eastAsia="Times New Roman" w:cs="Times New Roman"/>
          <w:color w:val="000000"/>
        </w:rPr>
        <w:t>1996</w:t>
      </w:r>
      <w:r w:rsidR="00EF2F87">
        <w:rPr>
          <w:rFonts w:eastAsia="Times New Roman" w:cs="Times New Roman"/>
          <w:color w:val="000000"/>
        </w:rPr>
        <w:t>)</w:t>
      </w:r>
      <w:r w:rsidRPr="00BE4144">
        <w:rPr>
          <w:rFonts w:eastAsia="Times New Roman" w:cs="Times New Roman"/>
          <w:color w:val="000000"/>
        </w:rPr>
        <w:t>.</w:t>
      </w:r>
    </w:p>
  </w:footnote>
  <w:footnote w:id="93">
    <w:p w14:paraId="64F8DC70" w14:textId="0A6B3DA5" w:rsidR="0074725C" w:rsidRPr="00BE4144" w:rsidRDefault="0074725C" w:rsidP="00BE4144">
      <w:pPr>
        <w:pStyle w:val="FootnoteText"/>
        <w:jc w:val="both"/>
        <w:rPr>
          <w:rFonts w:cs="Times New Roman"/>
        </w:rPr>
      </w:pPr>
      <w:r w:rsidRPr="00BE4144">
        <w:rPr>
          <w:rStyle w:val="FootnoteReference"/>
          <w:rFonts w:cs="Times New Roman"/>
        </w:rPr>
        <w:footnoteRef/>
      </w:r>
      <w:r w:rsidR="00D21A62" w:rsidRPr="00BE4144">
        <w:rPr>
          <w:rFonts w:cs="Times New Roman"/>
        </w:rPr>
        <w:t xml:space="preserve"> </w:t>
      </w:r>
      <w:r w:rsidR="00D21A62" w:rsidRPr="00403D85">
        <w:rPr>
          <w:rFonts w:cs="Times New Roman"/>
          <w:smallCaps/>
        </w:rPr>
        <w:t>Am. Petroleum Inst.,</w:t>
      </w:r>
      <w:r w:rsidRPr="00403D85">
        <w:rPr>
          <w:rFonts w:cs="Times New Roman"/>
          <w:smallCaps/>
        </w:rPr>
        <w:t xml:space="preserve"> </w:t>
      </w:r>
      <w:r w:rsidR="00D21A62" w:rsidRPr="00403D85">
        <w:rPr>
          <w:rFonts w:cs="Times New Roman"/>
          <w:smallCaps/>
        </w:rPr>
        <w:t>Procedures for Standards Development</w:t>
      </w:r>
      <w:r w:rsidR="00D21A62" w:rsidRPr="00BE4144">
        <w:rPr>
          <w:rFonts w:cs="Times New Roman"/>
        </w:rPr>
        <w:t>, 6</w:t>
      </w:r>
      <w:r w:rsidR="00D21A62" w:rsidRPr="00403D85">
        <w:rPr>
          <w:rFonts w:cs="Times New Roman"/>
          <w:vertAlign w:val="superscript"/>
        </w:rPr>
        <w:t>th</w:t>
      </w:r>
      <w:r w:rsidR="00D21A62" w:rsidRPr="00BE4144">
        <w:rPr>
          <w:rFonts w:cs="Times New Roman"/>
        </w:rPr>
        <w:t xml:space="preserve"> Ed. </w:t>
      </w:r>
      <w:r w:rsidR="00D3410F" w:rsidRPr="00BE4144">
        <w:rPr>
          <w:rFonts w:cs="Times New Roman"/>
        </w:rPr>
        <w:t xml:space="preserve">at 14-16 </w:t>
      </w:r>
      <w:r w:rsidR="00D21A62" w:rsidRPr="00BE4144">
        <w:rPr>
          <w:rFonts w:cs="Times New Roman"/>
        </w:rPr>
        <w:t>(2019)</w:t>
      </w:r>
      <w:r w:rsidR="00D3410F" w:rsidRPr="00BE4144">
        <w:rPr>
          <w:rFonts w:cs="Times New Roman"/>
        </w:rPr>
        <w:t>, https://www.api.org/~/media/files/publications/2019-api-procedures-for-standards-development.pdf.</w:t>
      </w:r>
    </w:p>
  </w:footnote>
  <w:footnote w:id="94">
    <w:p w14:paraId="4713D3FB" w14:textId="6EA1613E" w:rsidR="004245CB" w:rsidRPr="00BE4144" w:rsidRDefault="004245CB"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EF2F87">
        <w:rPr>
          <w:rFonts w:eastAsia="Times New Roman" w:cs="Times New Roman"/>
          <w:color w:val="000000"/>
        </w:rPr>
        <w:t xml:space="preserve">Jacob E. </w:t>
      </w:r>
      <w:proofErr w:type="spellStart"/>
      <w:r w:rsidRPr="00BE4144">
        <w:rPr>
          <w:rFonts w:eastAsia="Times New Roman" w:cs="Times New Roman"/>
          <w:color w:val="000000"/>
        </w:rPr>
        <w:t>Gersen</w:t>
      </w:r>
      <w:proofErr w:type="spellEnd"/>
      <w:r w:rsidR="00EF2F87">
        <w:rPr>
          <w:rFonts w:eastAsia="Times New Roman" w:cs="Times New Roman"/>
          <w:color w:val="000000"/>
        </w:rPr>
        <w:t xml:space="preserve">, </w:t>
      </w:r>
      <w:proofErr w:type="spellStart"/>
      <w:r w:rsidR="00EF2F87">
        <w:rPr>
          <w:rFonts w:eastAsia="Times New Roman" w:cs="Times New Roman"/>
          <w:i/>
          <w:iCs/>
          <w:color w:val="000000"/>
        </w:rPr>
        <w:t>Tempoary</w:t>
      </w:r>
      <w:proofErr w:type="spellEnd"/>
      <w:r w:rsidR="00EF2F87">
        <w:rPr>
          <w:rFonts w:eastAsia="Times New Roman" w:cs="Times New Roman"/>
          <w:i/>
          <w:iCs/>
          <w:color w:val="000000"/>
        </w:rPr>
        <w:t xml:space="preserve"> Legislation</w:t>
      </w:r>
      <w:r w:rsidR="00EF2F87">
        <w:rPr>
          <w:rFonts w:eastAsia="Times New Roman" w:cs="Times New Roman"/>
          <w:color w:val="000000"/>
        </w:rPr>
        <w:t xml:space="preserve">, 74 U. </w:t>
      </w:r>
      <w:r w:rsidR="00EF2F87" w:rsidRPr="00403D85">
        <w:rPr>
          <w:rFonts w:eastAsia="Times New Roman" w:cs="Times New Roman"/>
          <w:smallCaps/>
          <w:color w:val="000000"/>
        </w:rPr>
        <w:t>Chicago L. Rev.</w:t>
      </w:r>
      <w:r w:rsidR="00EF2F87">
        <w:rPr>
          <w:rFonts w:eastAsia="Times New Roman" w:cs="Times New Roman"/>
          <w:color w:val="000000"/>
        </w:rPr>
        <w:t xml:space="preserve"> 247</w:t>
      </w:r>
      <w:r w:rsidRPr="00BE4144">
        <w:rPr>
          <w:rFonts w:eastAsia="Times New Roman" w:cs="Times New Roman"/>
          <w:color w:val="000000"/>
        </w:rPr>
        <w:t xml:space="preserve"> </w:t>
      </w:r>
      <w:r w:rsidR="00EF2F87">
        <w:rPr>
          <w:rFonts w:eastAsia="Times New Roman" w:cs="Times New Roman"/>
          <w:color w:val="000000"/>
        </w:rPr>
        <w:t>(</w:t>
      </w:r>
      <w:r w:rsidRPr="00BE4144">
        <w:rPr>
          <w:rFonts w:eastAsia="Times New Roman" w:cs="Times New Roman"/>
          <w:color w:val="000000"/>
        </w:rPr>
        <w:t>2007)</w:t>
      </w:r>
      <w:r w:rsidR="00EF2F87">
        <w:rPr>
          <w:rFonts w:eastAsia="Times New Roman" w:cs="Times New Roman"/>
          <w:color w:val="000000"/>
        </w:rPr>
        <w:t>.</w:t>
      </w:r>
    </w:p>
  </w:footnote>
  <w:footnote w:id="95">
    <w:p w14:paraId="2FAC3B2B" w14:textId="401C6D0E" w:rsidR="00D3410F" w:rsidRPr="00BE4144" w:rsidRDefault="00D3410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EF2F87">
        <w:rPr>
          <w:rFonts w:eastAsia="Times New Roman" w:cs="Times New Roman"/>
          <w:color w:val="000000"/>
          <w:shd w:val="clear" w:color="auto" w:fill="FFFFFF"/>
        </w:rPr>
        <w:t xml:space="preserve">Daniel E. </w:t>
      </w:r>
      <w:r w:rsidRPr="00BE4144">
        <w:rPr>
          <w:rFonts w:eastAsia="Times New Roman" w:cs="Times New Roman"/>
          <w:color w:val="000000"/>
          <w:shd w:val="clear" w:color="auto" w:fill="FFFFFF"/>
        </w:rPr>
        <w:t>Walters</w:t>
      </w:r>
      <w:r w:rsidR="00EF2F87">
        <w:rPr>
          <w:rFonts w:eastAsia="Times New Roman" w:cs="Times New Roman"/>
          <w:color w:val="000000"/>
          <w:shd w:val="clear" w:color="auto" w:fill="FFFFFF"/>
        </w:rPr>
        <w:t xml:space="preserve">, </w:t>
      </w:r>
      <w:r w:rsidR="00EF2F87">
        <w:rPr>
          <w:rFonts w:eastAsia="Times New Roman" w:cs="Times New Roman"/>
          <w:i/>
          <w:iCs/>
          <w:color w:val="000000"/>
          <w:shd w:val="clear" w:color="auto" w:fill="FFFFFF"/>
        </w:rPr>
        <w:t>Lumpy Social Goods in Energy Decarbonization: Why We Need More Than Just Markets for the Clean Energy Transition</w:t>
      </w:r>
      <w:r w:rsidR="00EF2F87">
        <w:rPr>
          <w:rFonts w:eastAsia="Times New Roman" w:cs="Times New Roman"/>
          <w:color w:val="000000"/>
          <w:shd w:val="clear" w:color="auto" w:fill="FFFFFF"/>
        </w:rPr>
        <w:t xml:space="preserve">, </w:t>
      </w:r>
      <w:r w:rsidR="0087440C">
        <w:rPr>
          <w:rFonts w:eastAsia="Times New Roman" w:cs="Times New Roman"/>
          <w:color w:val="000000"/>
          <w:shd w:val="clear" w:color="auto" w:fill="FFFFFF"/>
        </w:rPr>
        <w:t>U. Colo. L. Rev. (Forthcoming)</w:t>
      </w:r>
      <w:r w:rsidRPr="00BE4144">
        <w:rPr>
          <w:rFonts w:eastAsia="Times New Roman" w:cs="Times New Roman"/>
          <w:color w:val="000000"/>
          <w:shd w:val="clear" w:color="auto" w:fill="FFFFFF"/>
        </w:rPr>
        <w:t xml:space="preserve"> </w:t>
      </w:r>
      <w:r w:rsidR="0087440C">
        <w:rPr>
          <w:rFonts w:eastAsia="Times New Roman" w:cs="Times New Roman"/>
          <w:color w:val="000000"/>
          <w:shd w:val="clear" w:color="auto" w:fill="FFFFFF"/>
        </w:rPr>
        <w:t>(</w:t>
      </w:r>
      <w:r w:rsidRPr="00BE4144">
        <w:rPr>
          <w:rFonts w:eastAsia="Times New Roman" w:cs="Times New Roman"/>
          <w:color w:val="000000"/>
          <w:shd w:val="clear" w:color="auto" w:fill="FFFFFF"/>
        </w:rPr>
        <w:t>2022</w:t>
      </w:r>
      <w:r w:rsidR="0087440C">
        <w:rPr>
          <w:rFonts w:eastAsia="Times New Roman" w:cs="Times New Roman"/>
          <w:color w:val="000000"/>
          <w:shd w:val="clear" w:color="auto" w:fill="FFFFFF"/>
        </w:rPr>
        <w:t>)</w:t>
      </w:r>
      <w:r w:rsidRPr="00BE4144">
        <w:rPr>
          <w:rFonts w:eastAsia="Times New Roman" w:cs="Times New Roman"/>
          <w:color w:val="000000"/>
          <w:shd w:val="clear" w:color="auto" w:fill="FFFFFF"/>
        </w:rPr>
        <w:t xml:space="preserve">; </w:t>
      </w:r>
      <w:r w:rsidRPr="00403D85">
        <w:rPr>
          <w:rFonts w:eastAsia="Times New Roman" w:cs="Times New Roman"/>
          <w:color w:val="000000"/>
          <w:shd w:val="clear" w:color="auto" w:fill="FFFFFF"/>
        </w:rPr>
        <w:t>Fennell 2019).</w:t>
      </w:r>
    </w:p>
  </w:footnote>
  <w:footnote w:id="96">
    <w:p w14:paraId="09D2E4F9" w14:textId="4BBCA722" w:rsidR="00D3410F" w:rsidRPr="00BE4144" w:rsidRDefault="00D3410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87440C">
        <w:rPr>
          <w:rFonts w:eastAsia="Times New Roman" w:cs="Times New Roman"/>
          <w:color w:val="000000"/>
          <w:shd w:val="clear" w:color="auto" w:fill="FFFFFF"/>
        </w:rPr>
        <w:t xml:space="preserve">Lawrence </w:t>
      </w:r>
      <w:r w:rsidRPr="00BE4144">
        <w:rPr>
          <w:rFonts w:eastAsia="Times New Roman" w:cs="Times New Roman"/>
          <w:color w:val="000000"/>
          <w:shd w:val="clear" w:color="auto" w:fill="FFFFFF"/>
        </w:rPr>
        <w:t>Lessig</w:t>
      </w:r>
      <w:r w:rsidR="0087440C">
        <w:rPr>
          <w:rFonts w:eastAsia="Times New Roman" w:cs="Times New Roman"/>
          <w:color w:val="000000"/>
          <w:shd w:val="clear" w:color="auto" w:fill="FFFFFF"/>
        </w:rPr>
        <w:t xml:space="preserve">, </w:t>
      </w:r>
      <w:r w:rsidR="0087440C" w:rsidRPr="00403D85">
        <w:rPr>
          <w:rFonts w:eastAsia="Times New Roman" w:cs="Times New Roman"/>
          <w:i/>
          <w:iCs/>
          <w:color w:val="000000"/>
          <w:shd w:val="clear" w:color="auto" w:fill="FFFFFF"/>
        </w:rPr>
        <w:t>The Limits in Open Code: Regulatory Standards and the Future of the Net</w:t>
      </w:r>
      <w:r w:rsidR="0087440C">
        <w:rPr>
          <w:rFonts w:eastAsia="Times New Roman" w:cs="Times New Roman"/>
          <w:color w:val="000000"/>
          <w:shd w:val="clear" w:color="auto" w:fill="FFFFFF"/>
        </w:rPr>
        <w:t>, 14</w:t>
      </w:r>
      <w:r w:rsidRPr="00403D85">
        <w:rPr>
          <w:rFonts w:eastAsia="Times New Roman" w:cs="Times New Roman"/>
          <w:i/>
          <w:iCs/>
          <w:color w:val="000000"/>
          <w:shd w:val="clear" w:color="auto" w:fill="FFFFFF"/>
        </w:rPr>
        <w:t xml:space="preserve"> </w:t>
      </w:r>
      <w:r w:rsidR="0087440C" w:rsidRPr="00403D85">
        <w:rPr>
          <w:rFonts w:eastAsia="Times New Roman" w:cs="Times New Roman"/>
          <w:smallCaps/>
          <w:color w:val="000000"/>
          <w:shd w:val="clear" w:color="auto" w:fill="FFFFFF"/>
        </w:rPr>
        <w:t>Berkeley Tech. L. J.</w:t>
      </w:r>
      <w:r w:rsidR="0087440C">
        <w:rPr>
          <w:rFonts w:eastAsia="Times New Roman" w:cs="Times New Roman"/>
          <w:color w:val="000000"/>
          <w:shd w:val="clear" w:color="auto" w:fill="FFFFFF"/>
        </w:rPr>
        <w:t xml:space="preserve"> 759 (</w:t>
      </w:r>
      <w:r w:rsidRPr="00BE4144">
        <w:rPr>
          <w:rFonts w:eastAsia="Times New Roman" w:cs="Times New Roman"/>
          <w:color w:val="000000"/>
          <w:shd w:val="clear" w:color="auto" w:fill="FFFFFF"/>
        </w:rPr>
        <w:t>1999</w:t>
      </w:r>
      <w:r w:rsidR="0087440C">
        <w:rPr>
          <w:rFonts w:eastAsia="Times New Roman" w:cs="Times New Roman"/>
          <w:color w:val="000000"/>
          <w:shd w:val="clear" w:color="auto" w:fill="FFFFFF"/>
        </w:rPr>
        <w:t>).</w:t>
      </w:r>
    </w:p>
  </w:footnote>
  <w:footnote w:id="97">
    <w:p w14:paraId="4680395D" w14:textId="49428C54" w:rsidR="00D3410F" w:rsidRPr="00BE4144" w:rsidRDefault="00D3410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shd w:val="clear" w:color="auto" w:fill="FFFFFF"/>
        </w:rPr>
        <w:t>Lessig</w:t>
      </w:r>
      <w:r w:rsidR="0087440C">
        <w:rPr>
          <w:rFonts w:eastAsia="Times New Roman" w:cs="Times New Roman"/>
          <w:color w:val="000000"/>
          <w:shd w:val="clear" w:color="auto" w:fill="FFFFFF"/>
        </w:rPr>
        <w:t>,</w:t>
      </w:r>
      <w:r w:rsidRPr="00BE4144">
        <w:rPr>
          <w:rFonts w:eastAsia="Times New Roman" w:cs="Times New Roman"/>
          <w:color w:val="000000"/>
          <w:shd w:val="clear" w:color="auto" w:fill="FFFFFF"/>
        </w:rPr>
        <w:t xml:space="preserve"> </w:t>
      </w:r>
      <w:r w:rsidR="0087440C">
        <w:rPr>
          <w:rFonts w:eastAsia="Times New Roman" w:cs="Times New Roman"/>
          <w:i/>
          <w:iCs/>
          <w:color w:val="000000"/>
          <w:shd w:val="clear" w:color="auto" w:fill="FFFFFF"/>
        </w:rPr>
        <w:t>supra</w:t>
      </w:r>
      <w:r w:rsidR="0087440C">
        <w:rPr>
          <w:rFonts w:eastAsia="Times New Roman" w:cs="Times New Roman"/>
          <w:color w:val="000000"/>
          <w:shd w:val="clear" w:color="auto" w:fill="FFFFFF"/>
        </w:rPr>
        <w:t xml:space="preserve"> note </w:t>
      </w:r>
      <w:bookmarkStart w:id="35" w:name="_Hlk142238140"/>
      <w:r w:rsidR="0087440C">
        <w:rPr>
          <w:rFonts w:eastAsia="Times New Roman" w:cs="Times New Roman"/>
          <w:color w:val="000000"/>
          <w:shd w:val="clear" w:color="auto" w:fill="FFFFFF"/>
        </w:rPr>
        <w:fldChar w:fldCharType="begin"/>
      </w:r>
      <w:r w:rsidR="0087440C">
        <w:rPr>
          <w:rFonts w:eastAsia="Times New Roman" w:cs="Times New Roman"/>
          <w:color w:val="000000"/>
          <w:shd w:val="clear" w:color="auto" w:fill="FFFFFF"/>
        </w:rPr>
        <w:instrText xml:space="preserve"> NOTEREF _Ref142237925 \h </w:instrText>
      </w:r>
      <w:r w:rsidR="0087440C">
        <w:rPr>
          <w:rFonts w:eastAsia="Times New Roman" w:cs="Times New Roman"/>
          <w:color w:val="000000"/>
          <w:shd w:val="clear" w:color="auto" w:fill="FFFFFF"/>
        </w:rPr>
      </w:r>
      <w:r w:rsidR="0087440C">
        <w:rPr>
          <w:rFonts w:eastAsia="Times New Roman" w:cs="Times New Roman"/>
          <w:color w:val="000000"/>
          <w:shd w:val="clear" w:color="auto" w:fill="FFFFFF"/>
        </w:rPr>
        <w:fldChar w:fldCharType="separate"/>
      </w:r>
      <w:r w:rsidR="0087440C">
        <w:rPr>
          <w:rFonts w:eastAsia="Times New Roman" w:cs="Times New Roman"/>
          <w:color w:val="000000"/>
          <w:shd w:val="clear" w:color="auto" w:fill="FFFFFF"/>
        </w:rPr>
        <w:t>96</w:t>
      </w:r>
      <w:r w:rsidR="0087440C">
        <w:rPr>
          <w:rFonts w:eastAsia="Times New Roman" w:cs="Times New Roman"/>
          <w:color w:val="000000"/>
          <w:shd w:val="clear" w:color="auto" w:fill="FFFFFF"/>
        </w:rPr>
        <w:fldChar w:fldCharType="end"/>
      </w:r>
      <w:bookmarkEnd w:id="35"/>
      <w:r w:rsidR="0087440C">
        <w:rPr>
          <w:rFonts w:eastAsia="Times New Roman" w:cs="Times New Roman"/>
          <w:color w:val="000000"/>
          <w:shd w:val="clear" w:color="auto" w:fill="FFFFFF"/>
        </w:rPr>
        <w:t>, at</w:t>
      </w:r>
      <w:r w:rsidRPr="00BE4144">
        <w:rPr>
          <w:rFonts w:eastAsia="Times New Roman" w:cs="Times New Roman"/>
          <w:color w:val="000000"/>
          <w:shd w:val="clear" w:color="auto" w:fill="FFFFFF"/>
        </w:rPr>
        <w:t xml:space="preserve"> 759.</w:t>
      </w:r>
    </w:p>
  </w:footnote>
  <w:footnote w:id="98">
    <w:p w14:paraId="0ED7FB64" w14:textId="542CAC63" w:rsidR="00D3410F" w:rsidRPr="00BE4144" w:rsidRDefault="00D3410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87440C" w:rsidRPr="0087440C">
        <w:t xml:space="preserve"> </w:t>
      </w:r>
      <w:r w:rsidR="0087440C" w:rsidRPr="0087440C">
        <w:rPr>
          <w:rFonts w:eastAsia="Times New Roman" w:cs="Times New Roman"/>
          <w:color w:val="000000"/>
          <w:shd w:val="clear" w:color="auto" w:fill="FFFFFF"/>
        </w:rPr>
        <w:t xml:space="preserve">Lessig, supra note </w:t>
      </w:r>
      <w:r w:rsidR="0087440C" w:rsidRPr="0087440C">
        <w:rPr>
          <w:rFonts w:eastAsia="Times New Roman" w:cs="Times New Roman"/>
          <w:color w:val="000000"/>
          <w:shd w:val="clear" w:color="auto" w:fill="FFFFFF"/>
        </w:rPr>
        <w:fldChar w:fldCharType="begin"/>
      </w:r>
      <w:r w:rsidR="0087440C" w:rsidRPr="0087440C">
        <w:rPr>
          <w:rFonts w:eastAsia="Times New Roman" w:cs="Times New Roman"/>
          <w:color w:val="000000"/>
          <w:shd w:val="clear" w:color="auto" w:fill="FFFFFF"/>
        </w:rPr>
        <w:instrText xml:space="preserve"> NOTEREF _Ref142237925 \h </w:instrText>
      </w:r>
      <w:r w:rsidR="0087440C" w:rsidRPr="0087440C">
        <w:rPr>
          <w:rFonts w:eastAsia="Times New Roman" w:cs="Times New Roman"/>
          <w:color w:val="000000"/>
          <w:shd w:val="clear" w:color="auto" w:fill="FFFFFF"/>
        </w:rPr>
      </w:r>
      <w:r w:rsidR="0087440C" w:rsidRPr="0087440C">
        <w:rPr>
          <w:rFonts w:eastAsia="Times New Roman" w:cs="Times New Roman"/>
          <w:color w:val="000000"/>
          <w:shd w:val="clear" w:color="auto" w:fill="FFFFFF"/>
        </w:rPr>
        <w:fldChar w:fldCharType="separate"/>
      </w:r>
      <w:r w:rsidR="0087440C" w:rsidRPr="0087440C">
        <w:rPr>
          <w:rFonts w:eastAsia="Times New Roman" w:cs="Times New Roman"/>
          <w:color w:val="000000"/>
          <w:shd w:val="clear" w:color="auto" w:fill="FFFFFF"/>
        </w:rPr>
        <w:t>96</w:t>
      </w:r>
      <w:r w:rsidR="0087440C" w:rsidRPr="0087440C">
        <w:rPr>
          <w:rFonts w:eastAsia="Times New Roman" w:cs="Times New Roman"/>
          <w:color w:val="000000"/>
          <w:shd w:val="clear" w:color="auto" w:fill="FFFFFF"/>
        </w:rPr>
        <w:fldChar w:fldCharType="end"/>
      </w:r>
      <w:r w:rsidR="0087440C" w:rsidRPr="0087440C">
        <w:rPr>
          <w:rFonts w:eastAsia="Times New Roman" w:cs="Times New Roman"/>
          <w:color w:val="000000"/>
          <w:shd w:val="clear" w:color="auto" w:fill="FFFFFF"/>
        </w:rPr>
        <w:t>, at 759.</w:t>
      </w:r>
    </w:p>
  </w:footnote>
  <w:footnote w:id="99">
    <w:p w14:paraId="42970106" w14:textId="1A888287" w:rsidR="00D3410F" w:rsidRPr="00BE4144" w:rsidRDefault="00D3410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EE02FF" w:rsidRPr="00BE4144">
        <w:rPr>
          <w:rFonts w:eastAsia="Times New Roman" w:cs="Times New Roman"/>
          <w:color w:val="000000"/>
          <w:shd w:val="clear" w:color="auto" w:fill="FFFFFF"/>
        </w:rPr>
        <w:t>(See Part III.) </w:t>
      </w:r>
      <w:r w:rsidR="0087440C">
        <w:rPr>
          <w:rFonts w:eastAsia="Times New Roman" w:cs="Times New Roman"/>
          <w:color w:val="000000"/>
          <w:shd w:val="clear" w:color="auto" w:fill="FFFFFF"/>
        </w:rPr>
        <w:t xml:space="preserve"> </w:t>
      </w:r>
    </w:p>
  </w:footnote>
  <w:footnote w:id="100">
    <w:p w14:paraId="3EC7CABA" w14:textId="1C7F26F5" w:rsidR="00EE02FF" w:rsidRPr="007B3BDF" w:rsidRDefault="00EE02F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shd w:val="clear" w:color="auto" w:fill="FFFFFF"/>
        </w:rPr>
        <w:t xml:space="preserve">American Petroleum Institute </w:t>
      </w:r>
      <w:r w:rsidR="007B3BDF">
        <w:rPr>
          <w:rFonts w:eastAsia="Times New Roman" w:cs="Times New Roman"/>
          <w:i/>
          <w:iCs/>
          <w:color w:val="000000"/>
          <w:shd w:val="clear" w:color="auto" w:fill="FFFFFF"/>
        </w:rPr>
        <w:t xml:space="preserve">supra </w:t>
      </w:r>
      <w:r w:rsidR="007B3BDF">
        <w:rPr>
          <w:rFonts w:eastAsia="Times New Roman" w:cs="Times New Roman"/>
          <w:color w:val="000000"/>
          <w:shd w:val="clear" w:color="auto" w:fill="FFFFFF"/>
        </w:rPr>
        <w:t xml:space="preserve">note </w:t>
      </w:r>
      <w:r w:rsidR="007B3BDF">
        <w:rPr>
          <w:rFonts w:eastAsia="Times New Roman" w:cs="Times New Roman"/>
          <w:color w:val="000000"/>
          <w:shd w:val="clear" w:color="auto" w:fill="FFFFFF"/>
        </w:rPr>
        <w:fldChar w:fldCharType="begin"/>
      </w:r>
      <w:r w:rsidR="007B3BDF">
        <w:rPr>
          <w:rFonts w:eastAsia="Times New Roman" w:cs="Times New Roman"/>
          <w:color w:val="000000"/>
          <w:shd w:val="clear" w:color="auto" w:fill="FFFFFF"/>
        </w:rPr>
        <w:instrText xml:space="preserve"> NOTEREF _Ref142238628 \h </w:instrText>
      </w:r>
      <w:r w:rsidR="007B3BDF">
        <w:rPr>
          <w:rFonts w:eastAsia="Times New Roman" w:cs="Times New Roman"/>
          <w:color w:val="000000"/>
          <w:shd w:val="clear" w:color="auto" w:fill="FFFFFF"/>
        </w:rPr>
      </w:r>
      <w:r w:rsidR="007B3BDF">
        <w:rPr>
          <w:rFonts w:eastAsia="Times New Roman" w:cs="Times New Roman"/>
          <w:color w:val="000000"/>
          <w:shd w:val="clear" w:color="auto" w:fill="FFFFFF"/>
        </w:rPr>
        <w:fldChar w:fldCharType="separate"/>
      </w:r>
      <w:r w:rsidR="007B3BDF">
        <w:rPr>
          <w:rFonts w:eastAsia="Times New Roman" w:cs="Times New Roman"/>
          <w:color w:val="000000"/>
          <w:shd w:val="clear" w:color="auto" w:fill="FFFFFF"/>
        </w:rPr>
        <w:t>35</w:t>
      </w:r>
      <w:r w:rsidR="007B3BDF">
        <w:rPr>
          <w:rFonts w:eastAsia="Times New Roman" w:cs="Times New Roman"/>
          <w:color w:val="000000"/>
          <w:shd w:val="clear" w:color="auto" w:fill="FFFFFF"/>
        </w:rPr>
        <w:fldChar w:fldCharType="end"/>
      </w:r>
      <w:r w:rsidRPr="00BE4144">
        <w:rPr>
          <w:rFonts w:eastAsia="Times New Roman" w:cs="Times New Roman"/>
          <w:color w:val="000000"/>
          <w:shd w:val="clear" w:color="auto" w:fill="FFFFFF"/>
        </w:rPr>
        <w:t xml:space="preserve">; Leiter </w:t>
      </w:r>
      <w:r w:rsidR="007B3BDF">
        <w:rPr>
          <w:rFonts w:eastAsia="Times New Roman" w:cs="Times New Roman"/>
          <w:i/>
          <w:iCs/>
          <w:color w:val="000000"/>
          <w:shd w:val="clear" w:color="auto" w:fill="FFFFFF"/>
        </w:rPr>
        <w:t xml:space="preserve">supra </w:t>
      </w:r>
      <w:r w:rsidR="007B3BDF">
        <w:rPr>
          <w:rFonts w:eastAsia="Times New Roman" w:cs="Times New Roman"/>
          <w:color w:val="000000"/>
          <w:shd w:val="clear" w:color="auto" w:fill="FFFFFF"/>
        </w:rPr>
        <w:t xml:space="preserve">note </w:t>
      </w:r>
      <w:r w:rsidR="007B3BDF">
        <w:rPr>
          <w:rFonts w:eastAsia="Times New Roman" w:cs="Times New Roman"/>
          <w:color w:val="000000"/>
          <w:shd w:val="clear" w:color="auto" w:fill="FFFFFF"/>
        </w:rPr>
        <w:fldChar w:fldCharType="begin"/>
      </w:r>
      <w:r w:rsidR="007B3BDF">
        <w:rPr>
          <w:rFonts w:eastAsia="Times New Roman" w:cs="Times New Roman"/>
          <w:color w:val="000000"/>
          <w:shd w:val="clear" w:color="auto" w:fill="FFFFFF"/>
        </w:rPr>
        <w:instrText xml:space="preserve"> NOTEREF _Ref142231869 \h </w:instrText>
      </w:r>
      <w:r w:rsidR="007B3BDF">
        <w:rPr>
          <w:rFonts w:eastAsia="Times New Roman" w:cs="Times New Roman"/>
          <w:color w:val="000000"/>
          <w:shd w:val="clear" w:color="auto" w:fill="FFFFFF"/>
        </w:rPr>
      </w:r>
      <w:r w:rsidR="007B3BDF">
        <w:rPr>
          <w:rFonts w:eastAsia="Times New Roman" w:cs="Times New Roman"/>
          <w:color w:val="000000"/>
          <w:shd w:val="clear" w:color="auto" w:fill="FFFFFF"/>
        </w:rPr>
        <w:fldChar w:fldCharType="separate"/>
      </w:r>
      <w:r w:rsidR="007B3BDF">
        <w:rPr>
          <w:rFonts w:eastAsia="Times New Roman" w:cs="Times New Roman"/>
          <w:color w:val="000000"/>
          <w:shd w:val="clear" w:color="auto" w:fill="FFFFFF"/>
        </w:rPr>
        <w:t>10</w:t>
      </w:r>
      <w:r w:rsidR="007B3BDF">
        <w:rPr>
          <w:rFonts w:eastAsia="Times New Roman" w:cs="Times New Roman"/>
          <w:color w:val="000000"/>
          <w:shd w:val="clear" w:color="auto" w:fill="FFFFFF"/>
        </w:rPr>
        <w:fldChar w:fldCharType="end"/>
      </w:r>
      <w:r w:rsidR="007B3BDF">
        <w:rPr>
          <w:rFonts w:eastAsia="Times New Roman" w:cs="Times New Roman"/>
          <w:color w:val="000000"/>
          <w:shd w:val="clear" w:color="auto" w:fill="FFFFFF"/>
        </w:rPr>
        <w:t>.</w:t>
      </w:r>
    </w:p>
  </w:footnote>
  <w:footnote w:id="101">
    <w:p w14:paraId="2696CB9B" w14:textId="7A6777D6" w:rsidR="00EE02FF" w:rsidRPr="00BE4144" w:rsidRDefault="00EE02F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shd w:val="clear" w:color="auto" w:fill="FFFFFF"/>
        </w:rPr>
        <w:t>ASTM Internationa</w:t>
      </w:r>
      <w:r w:rsidR="007B3BDF">
        <w:rPr>
          <w:rFonts w:eastAsia="Times New Roman" w:cs="Times New Roman"/>
          <w:color w:val="000000"/>
          <w:shd w:val="clear" w:color="auto" w:fill="FFFFFF"/>
        </w:rPr>
        <w:t xml:space="preserve">l 2022a, </w:t>
      </w:r>
      <w:r w:rsidR="007B3BDF">
        <w:rPr>
          <w:rFonts w:eastAsia="Times New Roman" w:cs="Times New Roman"/>
          <w:i/>
          <w:iCs/>
          <w:color w:val="000000"/>
          <w:shd w:val="clear" w:color="auto" w:fill="FFFFFF"/>
        </w:rPr>
        <w:t xml:space="preserve">supra </w:t>
      </w:r>
      <w:r w:rsidR="007B3BDF">
        <w:rPr>
          <w:rFonts w:eastAsia="Times New Roman" w:cs="Times New Roman"/>
          <w:color w:val="000000"/>
          <w:shd w:val="clear" w:color="auto" w:fill="FFFFFF"/>
        </w:rPr>
        <w:t xml:space="preserve">note </w:t>
      </w:r>
      <w:r w:rsidR="007B3BDF">
        <w:rPr>
          <w:rFonts w:eastAsia="Times New Roman" w:cs="Times New Roman"/>
          <w:color w:val="000000"/>
          <w:shd w:val="clear" w:color="auto" w:fill="FFFFFF"/>
        </w:rPr>
        <w:fldChar w:fldCharType="begin"/>
      </w:r>
      <w:r w:rsidR="007B3BDF">
        <w:rPr>
          <w:rFonts w:eastAsia="Times New Roman" w:cs="Times New Roman"/>
          <w:color w:val="000000"/>
          <w:shd w:val="clear" w:color="auto" w:fill="FFFFFF"/>
        </w:rPr>
        <w:instrText xml:space="preserve"> NOTEREF _Ref142235523 \h </w:instrText>
      </w:r>
      <w:r w:rsidR="007B3BDF">
        <w:rPr>
          <w:rFonts w:eastAsia="Times New Roman" w:cs="Times New Roman"/>
          <w:color w:val="000000"/>
          <w:shd w:val="clear" w:color="auto" w:fill="FFFFFF"/>
        </w:rPr>
      </w:r>
      <w:r w:rsidR="007B3BDF">
        <w:rPr>
          <w:rFonts w:eastAsia="Times New Roman" w:cs="Times New Roman"/>
          <w:color w:val="000000"/>
          <w:shd w:val="clear" w:color="auto" w:fill="FFFFFF"/>
        </w:rPr>
        <w:fldChar w:fldCharType="separate"/>
      </w:r>
      <w:r w:rsidR="007B3BDF">
        <w:rPr>
          <w:rFonts w:eastAsia="Times New Roman" w:cs="Times New Roman"/>
          <w:color w:val="000000"/>
          <w:shd w:val="clear" w:color="auto" w:fill="FFFFFF"/>
        </w:rPr>
        <w:t>64</w:t>
      </w:r>
      <w:r w:rsidR="007B3BDF">
        <w:rPr>
          <w:rFonts w:eastAsia="Times New Roman" w:cs="Times New Roman"/>
          <w:color w:val="000000"/>
          <w:shd w:val="clear" w:color="auto" w:fill="FFFFFF"/>
        </w:rPr>
        <w:fldChar w:fldCharType="end"/>
      </w:r>
      <w:r w:rsidR="007B3BDF">
        <w:rPr>
          <w:rFonts w:eastAsia="Times New Roman" w:cs="Times New Roman"/>
          <w:color w:val="000000"/>
          <w:shd w:val="clear" w:color="auto" w:fill="FFFFFF"/>
        </w:rPr>
        <w:t>.</w:t>
      </w:r>
    </w:p>
  </w:footnote>
  <w:footnote w:id="102">
    <w:p w14:paraId="2F34CD1C" w14:textId="15767E8B" w:rsidR="002C1E55" w:rsidRPr="00BE4144" w:rsidRDefault="002C1E55"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184AA7">
        <w:rPr>
          <w:rFonts w:eastAsia="Times New Roman" w:cs="Times New Roman"/>
          <w:color w:val="000000"/>
          <w:shd w:val="clear" w:color="auto" w:fill="FFFFFF"/>
        </w:rPr>
        <w:t xml:space="preserve">David </w:t>
      </w:r>
      <w:r w:rsidRPr="00BE4144">
        <w:rPr>
          <w:rFonts w:eastAsia="Times New Roman" w:cs="Times New Roman"/>
          <w:color w:val="000000"/>
          <w:shd w:val="clear" w:color="auto" w:fill="FFFFFF"/>
        </w:rPr>
        <w:t>Nevius</w:t>
      </w:r>
      <w:r w:rsidR="00184AA7">
        <w:rPr>
          <w:rFonts w:eastAsia="Times New Roman" w:cs="Times New Roman"/>
          <w:color w:val="000000"/>
          <w:shd w:val="clear" w:color="auto" w:fill="FFFFFF"/>
        </w:rPr>
        <w:t xml:space="preserve">, </w:t>
      </w:r>
      <w:r w:rsidR="00184AA7" w:rsidRPr="00184AA7">
        <w:rPr>
          <w:rFonts w:eastAsia="Times New Roman" w:cs="Times New Roman"/>
          <w:color w:val="000000"/>
          <w:shd w:val="clear" w:color="auto" w:fill="FFFFFF"/>
        </w:rPr>
        <w:t>The History of the North American Electric Reliability</w:t>
      </w:r>
      <w:r w:rsidR="00184AA7">
        <w:rPr>
          <w:rFonts w:eastAsia="Times New Roman" w:cs="Times New Roman"/>
          <w:color w:val="000000"/>
          <w:shd w:val="clear" w:color="auto" w:fill="FFFFFF"/>
        </w:rPr>
        <w:t xml:space="preserve"> </w:t>
      </w:r>
      <w:r w:rsidR="00184AA7" w:rsidRPr="00184AA7">
        <w:rPr>
          <w:rFonts w:eastAsia="Times New Roman" w:cs="Times New Roman"/>
          <w:color w:val="000000"/>
          <w:shd w:val="clear" w:color="auto" w:fill="FFFFFF"/>
        </w:rPr>
        <w:t>Corporation</w:t>
      </w:r>
      <w:r w:rsidR="00184AA7">
        <w:rPr>
          <w:rFonts w:eastAsia="Times New Roman" w:cs="Times New Roman"/>
          <w:color w:val="000000"/>
          <w:shd w:val="clear" w:color="auto" w:fill="FFFFFF"/>
        </w:rPr>
        <w:t xml:space="preserve"> </w:t>
      </w:r>
      <w:r w:rsidR="00933FCF">
        <w:rPr>
          <w:rFonts w:eastAsia="Times New Roman" w:cs="Times New Roman"/>
          <w:color w:val="000000"/>
          <w:shd w:val="clear" w:color="auto" w:fill="FFFFFF"/>
        </w:rPr>
        <w:t>(</w:t>
      </w:r>
      <w:r w:rsidRPr="00BE4144">
        <w:rPr>
          <w:rFonts w:eastAsia="Times New Roman" w:cs="Times New Roman"/>
          <w:color w:val="000000"/>
          <w:shd w:val="clear" w:color="auto" w:fill="FFFFFF"/>
        </w:rPr>
        <w:t>undated)</w:t>
      </w:r>
      <w:r w:rsidR="00933FCF">
        <w:rPr>
          <w:rFonts w:eastAsia="Times New Roman" w:cs="Times New Roman"/>
          <w:color w:val="000000"/>
          <w:shd w:val="clear" w:color="auto" w:fill="FFFFFF"/>
        </w:rPr>
        <w:t xml:space="preserve">, </w:t>
      </w:r>
      <w:hyperlink r:id="rId16" w:history="1">
        <w:r w:rsidR="00933FCF" w:rsidRPr="007571BA">
          <w:rPr>
            <w:rStyle w:val="Hyperlink"/>
            <w:rFonts w:eastAsia="Times New Roman" w:cs="Times New Roman"/>
            <w:shd w:val="clear" w:color="auto" w:fill="FFFFFF"/>
          </w:rPr>
          <w:t>https://www.nerc.com/news/Documents/NERCHistoryBook.pdf</w:t>
        </w:r>
      </w:hyperlink>
      <w:r w:rsidR="00933FCF">
        <w:rPr>
          <w:rFonts w:eastAsia="Times New Roman" w:cs="Times New Roman"/>
          <w:color w:val="000000"/>
          <w:shd w:val="clear" w:color="auto" w:fill="FFFFFF"/>
        </w:rPr>
        <w:t xml:space="preserve">; </w:t>
      </w:r>
      <w:r w:rsidRPr="00BE4144">
        <w:rPr>
          <w:rFonts w:eastAsia="Times New Roman" w:cs="Times New Roman"/>
          <w:color w:val="000000"/>
          <w:shd w:val="clear" w:color="auto" w:fill="FFFFFF"/>
        </w:rPr>
        <w:t xml:space="preserve">Joshua Macey, Shelley Welton, and Hannah Wiseman, Grid </w:t>
      </w:r>
      <w:r w:rsidR="009B5182" w:rsidRPr="00BE4144">
        <w:rPr>
          <w:rFonts w:eastAsia="Times New Roman" w:cs="Times New Roman"/>
          <w:color w:val="000000"/>
          <w:shd w:val="clear" w:color="auto" w:fill="FFFFFF"/>
        </w:rPr>
        <w:t xml:space="preserve">Reliability in the Electric Era, _Yale J. Reg. __ (forthcoming 2023). </w:t>
      </w:r>
    </w:p>
  </w:footnote>
  <w:footnote w:id="103">
    <w:p w14:paraId="77E9BCC5" w14:textId="00CDE29B" w:rsidR="009B5182" w:rsidRPr="00BE4144" w:rsidRDefault="009B518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2E6CEB" w:rsidRPr="00BE4144">
        <w:rPr>
          <w:rFonts w:cs="Times New Roman"/>
          <w:i/>
          <w:iCs/>
        </w:rPr>
        <w:t>Id</w:t>
      </w:r>
      <w:r w:rsidR="002E6CEB" w:rsidRPr="00BE4144">
        <w:rPr>
          <w:rFonts w:cs="Times New Roman"/>
        </w:rPr>
        <w:t xml:space="preserve">. </w:t>
      </w:r>
    </w:p>
  </w:footnote>
  <w:footnote w:id="104">
    <w:p w14:paraId="50AB8A53" w14:textId="4892CE74" w:rsidR="002E6CEB" w:rsidRPr="00403D85" w:rsidRDefault="002E6CEB" w:rsidP="00BE4144">
      <w:pPr>
        <w:pStyle w:val="FootnoteText"/>
        <w:jc w:val="both"/>
        <w:rPr>
          <w:rFonts w:cs="Times New Roman"/>
          <w:smallCaps/>
        </w:rPr>
      </w:pPr>
      <w:r w:rsidRPr="00BE4144">
        <w:rPr>
          <w:rStyle w:val="FootnoteReference"/>
          <w:rFonts w:cs="Times New Roman"/>
        </w:rPr>
        <w:footnoteRef/>
      </w:r>
      <w:r w:rsidR="00745F6A">
        <w:rPr>
          <w:rFonts w:eastAsia="Times New Roman" w:cs="Times New Roman"/>
          <w:smallCaps/>
          <w:color w:val="000000"/>
          <w:shd w:val="clear" w:color="auto" w:fill="FFFFFF"/>
        </w:rPr>
        <w:t xml:space="preserve"> Dept. of Energy, DOE Safety, Codes and Standards Activities, </w:t>
      </w:r>
      <w:hyperlink r:id="rId17" w:history="1">
        <w:r w:rsidR="00745F6A" w:rsidRPr="00403D85">
          <w:rPr>
            <w:rStyle w:val="Hyperlink"/>
            <w:rFonts w:eastAsia="Times New Roman" w:cs="Times New Roman"/>
            <w:shd w:val="clear" w:color="auto" w:fill="FFFFFF"/>
          </w:rPr>
          <w:t>https://www.energy.gov/eere/fuelcells/doe-safety-codes-and-standards-activities</w:t>
        </w:r>
      </w:hyperlink>
      <w:r w:rsidR="00745F6A">
        <w:rPr>
          <w:rFonts w:eastAsia="Times New Roman" w:cs="Times New Roman"/>
          <w:color w:val="000000"/>
          <w:shd w:val="clear" w:color="auto" w:fill="FFFFFF"/>
        </w:rPr>
        <w:t>.</w:t>
      </w:r>
      <w:r w:rsidR="00745F6A">
        <w:rPr>
          <w:rFonts w:eastAsia="Times New Roman" w:cs="Times New Roman"/>
          <w:smallCaps/>
          <w:color w:val="000000"/>
          <w:shd w:val="clear" w:color="auto" w:fill="FFFFFF"/>
        </w:rPr>
        <w:t xml:space="preserve"> </w:t>
      </w:r>
    </w:p>
  </w:footnote>
  <w:footnote w:id="105">
    <w:p w14:paraId="686863D3" w14:textId="03EFFD57" w:rsidR="002E6CEB" w:rsidRPr="00BE4144" w:rsidRDefault="002E6CEB"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shd w:val="clear" w:color="auto" w:fill="FFFFFF"/>
        </w:rPr>
        <w:t>Wiseman 2010</w:t>
      </w:r>
      <w:r w:rsidR="00745F6A">
        <w:rPr>
          <w:rFonts w:eastAsia="Times New Roman" w:cs="Times New Roman"/>
          <w:color w:val="000000"/>
          <w:shd w:val="clear" w:color="auto" w:fill="FFFFFF"/>
        </w:rPr>
        <w:t xml:space="preserve">, </w:t>
      </w:r>
      <w:r w:rsidR="00745F6A">
        <w:rPr>
          <w:rFonts w:eastAsia="Times New Roman" w:cs="Times New Roman"/>
          <w:i/>
          <w:iCs/>
          <w:color w:val="000000"/>
          <w:shd w:val="clear" w:color="auto" w:fill="FFFFFF"/>
        </w:rPr>
        <w:t xml:space="preserve">supra </w:t>
      </w:r>
      <w:r w:rsidR="00745F6A">
        <w:rPr>
          <w:rFonts w:eastAsia="Times New Roman" w:cs="Times New Roman"/>
          <w:color w:val="000000"/>
          <w:shd w:val="clear" w:color="auto" w:fill="FFFFFF"/>
        </w:rPr>
        <w:t xml:space="preserve">note </w:t>
      </w:r>
      <w:r w:rsidR="00745F6A">
        <w:rPr>
          <w:rFonts w:eastAsia="Times New Roman" w:cs="Times New Roman"/>
          <w:color w:val="000000"/>
          <w:shd w:val="clear" w:color="auto" w:fill="FFFFFF"/>
        </w:rPr>
        <w:fldChar w:fldCharType="begin"/>
      </w:r>
      <w:r w:rsidR="00745F6A">
        <w:rPr>
          <w:rFonts w:eastAsia="Times New Roman" w:cs="Times New Roman"/>
          <w:color w:val="000000"/>
          <w:shd w:val="clear" w:color="auto" w:fill="FFFFFF"/>
        </w:rPr>
        <w:instrText xml:space="preserve"> NOTEREF _Ref142240038 \h </w:instrText>
      </w:r>
      <w:r w:rsidR="00745F6A">
        <w:rPr>
          <w:rFonts w:eastAsia="Times New Roman" w:cs="Times New Roman"/>
          <w:color w:val="000000"/>
          <w:shd w:val="clear" w:color="auto" w:fill="FFFFFF"/>
        </w:rPr>
      </w:r>
      <w:r w:rsidR="00745F6A">
        <w:rPr>
          <w:rFonts w:eastAsia="Times New Roman" w:cs="Times New Roman"/>
          <w:color w:val="000000"/>
          <w:shd w:val="clear" w:color="auto" w:fill="FFFFFF"/>
        </w:rPr>
        <w:fldChar w:fldCharType="separate"/>
      </w:r>
      <w:r w:rsidR="00745F6A">
        <w:rPr>
          <w:rFonts w:eastAsia="Times New Roman" w:cs="Times New Roman"/>
          <w:color w:val="000000"/>
          <w:shd w:val="clear" w:color="auto" w:fill="FFFFFF"/>
        </w:rPr>
        <w:t>83</w:t>
      </w:r>
      <w:r w:rsidR="00745F6A">
        <w:rPr>
          <w:rFonts w:eastAsia="Times New Roman" w:cs="Times New Roman"/>
          <w:color w:val="000000"/>
          <w:shd w:val="clear" w:color="auto" w:fill="FFFFFF"/>
        </w:rPr>
        <w:fldChar w:fldCharType="end"/>
      </w:r>
      <w:r w:rsidR="00745F6A">
        <w:rPr>
          <w:rFonts w:eastAsia="Times New Roman" w:cs="Times New Roman"/>
          <w:color w:val="000000"/>
          <w:shd w:val="clear" w:color="auto" w:fill="FFFFFF"/>
        </w:rPr>
        <w:t>.</w:t>
      </w:r>
    </w:p>
  </w:footnote>
  <w:footnote w:id="106">
    <w:p w14:paraId="58477F24" w14:textId="4B979D5B" w:rsidR="002E6CEB" w:rsidRPr="00BE4144" w:rsidRDefault="002E6CEB"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shd w:val="clear" w:color="auto" w:fill="FFFFFF"/>
        </w:rPr>
        <w:t>Coglianese &amp; Mendelson</w:t>
      </w:r>
      <w:r w:rsidR="00745F6A">
        <w:rPr>
          <w:rFonts w:eastAsia="Times New Roman" w:cs="Times New Roman"/>
          <w:color w:val="000000"/>
          <w:shd w:val="clear" w:color="auto" w:fill="FFFFFF"/>
        </w:rPr>
        <w:t xml:space="preserve">, </w:t>
      </w:r>
      <w:r w:rsidR="00745F6A">
        <w:rPr>
          <w:rFonts w:eastAsia="Times New Roman" w:cs="Times New Roman"/>
          <w:i/>
          <w:iCs/>
          <w:color w:val="000000"/>
          <w:shd w:val="clear" w:color="auto" w:fill="FFFFFF"/>
        </w:rPr>
        <w:t xml:space="preserve">supra </w:t>
      </w:r>
      <w:r w:rsidR="00745F6A">
        <w:rPr>
          <w:rFonts w:eastAsia="Times New Roman" w:cs="Times New Roman"/>
          <w:color w:val="000000"/>
          <w:shd w:val="clear" w:color="auto" w:fill="FFFFFF"/>
        </w:rPr>
        <w:t xml:space="preserve">note </w:t>
      </w:r>
      <w:r w:rsidR="00745F6A">
        <w:rPr>
          <w:rFonts w:eastAsia="Times New Roman" w:cs="Times New Roman"/>
          <w:color w:val="000000"/>
          <w:shd w:val="clear" w:color="auto" w:fill="FFFFFF"/>
        </w:rPr>
        <w:fldChar w:fldCharType="begin"/>
      </w:r>
      <w:r w:rsidR="00745F6A">
        <w:rPr>
          <w:rFonts w:eastAsia="Times New Roman" w:cs="Times New Roman"/>
          <w:color w:val="000000"/>
          <w:shd w:val="clear" w:color="auto" w:fill="FFFFFF"/>
        </w:rPr>
        <w:instrText xml:space="preserve"> NOTEREF _Ref142240148 \h </w:instrText>
      </w:r>
      <w:r w:rsidR="00745F6A">
        <w:rPr>
          <w:rFonts w:eastAsia="Times New Roman" w:cs="Times New Roman"/>
          <w:color w:val="000000"/>
          <w:shd w:val="clear" w:color="auto" w:fill="FFFFFF"/>
        </w:rPr>
      </w:r>
      <w:r w:rsidR="00745F6A">
        <w:rPr>
          <w:rFonts w:eastAsia="Times New Roman" w:cs="Times New Roman"/>
          <w:color w:val="000000"/>
          <w:shd w:val="clear" w:color="auto" w:fill="FFFFFF"/>
        </w:rPr>
        <w:fldChar w:fldCharType="separate"/>
      </w:r>
      <w:r w:rsidR="00745F6A">
        <w:rPr>
          <w:rFonts w:eastAsia="Times New Roman" w:cs="Times New Roman"/>
          <w:color w:val="000000"/>
          <w:shd w:val="clear" w:color="auto" w:fill="FFFFFF"/>
        </w:rPr>
        <w:t>8</w:t>
      </w:r>
      <w:r w:rsidR="00745F6A">
        <w:rPr>
          <w:rFonts w:eastAsia="Times New Roman" w:cs="Times New Roman"/>
          <w:color w:val="000000"/>
          <w:shd w:val="clear" w:color="auto" w:fill="FFFFFF"/>
        </w:rPr>
        <w:fldChar w:fldCharType="end"/>
      </w:r>
      <w:r w:rsidRPr="00BE4144">
        <w:rPr>
          <w:rFonts w:eastAsia="Times New Roman" w:cs="Times New Roman"/>
          <w:color w:val="000000"/>
          <w:shd w:val="clear" w:color="auto" w:fill="FFFFFF"/>
        </w:rPr>
        <w:t>.</w:t>
      </w:r>
      <w:r w:rsidR="008B7024" w:rsidRPr="00BE4144">
        <w:rPr>
          <w:rFonts w:eastAsia="Times New Roman" w:cs="Times New Roman"/>
          <w:color w:val="000000"/>
          <w:shd w:val="clear" w:color="auto" w:fill="FFFFFF"/>
        </w:rPr>
        <w:t xml:space="preserve"> Meta-regulation has a wide variety of definitions.</w:t>
      </w:r>
      <w:r w:rsidR="00F21A05" w:rsidRPr="00BE4144">
        <w:rPr>
          <w:rFonts w:eastAsia="Times New Roman" w:cs="Times New Roman"/>
          <w:color w:val="000000"/>
          <w:shd w:val="clear" w:color="auto" w:fill="FFFFFF"/>
        </w:rPr>
        <w:t xml:space="preserve"> Under a relatively narrow v</w:t>
      </w:r>
      <w:r w:rsidR="00F2083D" w:rsidRPr="00BE4144">
        <w:rPr>
          <w:rFonts w:eastAsia="Times New Roman" w:cs="Times New Roman"/>
          <w:color w:val="000000"/>
          <w:shd w:val="clear" w:color="auto" w:fill="FFFFFF"/>
        </w:rPr>
        <w:t>ersion of meta-regulation “relates to corporate self-audits and safety cases where businesses develop their own rules and reporting for the regulator to assess.”</w:t>
      </w:r>
      <w:r w:rsidR="00415F67" w:rsidRPr="00BE4144">
        <w:rPr>
          <w:rFonts w:eastAsia="Times New Roman" w:cs="Times New Roman"/>
          <w:color w:val="000000"/>
          <w:shd w:val="clear" w:color="auto" w:fill="FFFFFF"/>
        </w:rPr>
        <w:t xml:space="preserve"> </w:t>
      </w:r>
      <w:r w:rsidR="00415F67" w:rsidRPr="00650632">
        <w:rPr>
          <w:rFonts w:eastAsia="Times New Roman" w:cs="Times New Roman"/>
          <w:smallCaps/>
          <w:color w:val="000000"/>
          <w:shd w:val="clear" w:color="auto" w:fill="FFFFFF"/>
        </w:rPr>
        <w:t>F.C. Simon, Meta-Regulation in Practice: Beyond Normative Views of Morality and Rationality</w:t>
      </w:r>
      <w:r w:rsidR="00F2083D" w:rsidRPr="00BE4144">
        <w:rPr>
          <w:rFonts w:eastAsia="Times New Roman" w:cs="Times New Roman"/>
          <w:color w:val="000000"/>
          <w:shd w:val="clear" w:color="auto" w:fill="FFFFFF"/>
        </w:rPr>
        <w:t xml:space="preserve"> </w:t>
      </w:r>
      <w:r w:rsidR="00D03862" w:rsidRPr="00BE4144">
        <w:rPr>
          <w:rFonts w:eastAsia="Times New Roman" w:cs="Times New Roman"/>
          <w:color w:val="000000"/>
          <w:shd w:val="clear" w:color="auto" w:fill="FFFFFF"/>
        </w:rPr>
        <w:t>2</w:t>
      </w:r>
      <w:r w:rsidR="00415F67" w:rsidRPr="00BE4144">
        <w:rPr>
          <w:rFonts w:eastAsia="Times New Roman" w:cs="Times New Roman"/>
          <w:color w:val="000000"/>
          <w:shd w:val="clear" w:color="auto" w:fill="FFFFFF"/>
        </w:rPr>
        <w:t xml:space="preserve"> (2017). </w:t>
      </w:r>
      <w:r w:rsidR="00D03862" w:rsidRPr="00BE4144">
        <w:rPr>
          <w:rFonts w:eastAsia="Times New Roman" w:cs="Times New Roman"/>
          <w:color w:val="000000"/>
          <w:shd w:val="clear" w:color="auto" w:fill="FFFFFF"/>
        </w:rPr>
        <w:t xml:space="preserve">A broader definition of meta-regulation involves formal rules that “are based on principles, not prescription, “reflexive and responsive” </w:t>
      </w:r>
      <w:r w:rsidR="003A0212" w:rsidRPr="00BE4144">
        <w:rPr>
          <w:rFonts w:eastAsia="Times New Roman" w:cs="Times New Roman"/>
          <w:color w:val="000000"/>
          <w:shd w:val="clear" w:color="auto" w:fill="FFFFFF"/>
        </w:rPr>
        <w:t xml:space="preserve">public </w:t>
      </w:r>
      <w:r w:rsidR="00D03862" w:rsidRPr="00BE4144">
        <w:rPr>
          <w:rFonts w:eastAsia="Times New Roman" w:cs="Times New Roman"/>
          <w:color w:val="000000"/>
          <w:shd w:val="clear" w:color="auto" w:fill="FFFFFF"/>
        </w:rPr>
        <w:t xml:space="preserve">law that is periodically updated based on learning, </w:t>
      </w:r>
      <w:r w:rsidR="003A0212" w:rsidRPr="00BE4144">
        <w:rPr>
          <w:rFonts w:eastAsia="Times New Roman" w:cs="Times New Roman"/>
          <w:color w:val="000000"/>
          <w:shd w:val="clear" w:color="auto" w:fill="FFFFFF"/>
        </w:rPr>
        <w:t>self-regulation of business within this context, and “[t]</w:t>
      </w:r>
      <w:proofErr w:type="spellStart"/>
      <w:r w:rsidR="003A0212" w:rsidRPr="00BE4144">
        <w:rPr>
          <w:rFonts w:eastAsia="Times New Roman" w:cs="Times New Roman"/>
          <w:color w:val="000000"/>
          <w:shd w:val="clear" w:color="auto" w:fill="FFFFFF"/>
        </w:rPr>
        <w:t>ransparency</w:t>
      </w:r>
      <w:proofErr w:type="spellEnd"/>
      <w:r w:rsidR="003A0212" w:rsidRPr="00BE4144">
        <w:rPr>
          <w:rFonts w:eastAsia="Times New Roman" w:cs="Times New Roman"/>
          <w:color w:val="000000"/>
          <w:shd w:val="clear" w:color="auto" w:fill="FFFFFF"/>
        </w:rPr>
        <w:t xml:space="preserve"> in business performance is promoted.” </w:t>
      </w:r>
      <w:r w:rsidR="003A0212" w:rsidRPr="00BE4144">
        <w:rPr>
          <w:rFonts w:eastAsia="Times New Roman" w:cs="Times New Roman"/>
          <w:i/>
          <w:iCs/>
          <w:color w:val="000000"/>
          <w:shd w:val="clear" w:color="auto" w:fill="FFFFFF"/>
        </w:rPr>
        <w:t>Id</w:t>
      </w:r>
      <w:r w:rsidR="003A0212" w:rsidRPr="00BE4144">
        <w:rPr>
          <w:rFonts w:eastAsia="Times New Roman" w:cs="Times New Roman"/>
          <w:color w:val="000000"/>
          <w:shd w:val="clear" w:color="auto" w:fill="FFFFFF"/>
        </w:rPr>
        <w:t>. at 3.</w:t>
      </w:r>
    </w:p>
  </w:footnote>
  <w:footnote w:id="107">
    <w:p w14:paraId="655B5356" w14:textId="127C84B4" w:rsidR="00F61D82" w:rsidRPr="00BE4144" w:rsidRDefault="00F61D8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745F6A" w:rsidRPr="00403D85">
        <w:rPr>
          <w:rFonts w:cs="Times New Roman"/>
          <w:smallCaps/>
        </w:rPr>
        <w:t xml:space="preserve">Brink Lindsey &amp; Steven M. Teles, </w:t>
      </w:r>
      <w:r w:rsidR="00745F6A" w:rsidRPr="00403D85">
        <w:rPr>
          <w:rFonts w:eastAsia="Times New Roman" w:cs="Times New Roman"/>
          <w:smallCaps/>
          <w:color w:val="222222"/>
          <w:szCs w:val="24"/>
        </w:rPr>
        <w:t>The Captured Economy: How the Powerful Enrich Themselves, Slow Down Growth, and Increase Inequality</w:t>
      </w:r>
      <w:r w:rsidR="00745F6A" w:rsidRPr="00EC79E0">
        <w:rPr>
          <w:rFonts w:eastAsia="Times New Roman" w:cs="Times New Roman"/>
          <w:color w:val="222222"/>
          <w:szCs w:val="24"/>
        </w:rPr>
        <w:t xml:space="preserve"> </w:t>
      </w:r>
      <w:r w:rsidR="00745F6A">
        <w:rPr>
          <w:rFonts w:eastAsia="Times New Roman" w:cs="Times New Roman"/>
          <w:color w:val="222222"/>
          <w:szCs w:val="24"/>
        </w:rPr>
        <w:t>(2017)</w:t>
      </w:r>
    </w:p>
  </w:footnote>
  <w:footnote w:id="108">
    <w:p w14:paraId="7258AD90" w14:textId="4DFB9C4C" w:rsidR="00F61D82" w:rsidRPr="00BE4144" w:rsidRDefault="00F61D8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745F6A">
        <w:rPr>
          <w:rFonts w:cs="Times New Roman"/>
        </w:rPr>
        <w:t xml:space="preserve">Alexis </w:t>
      </w:r>
      <w:r w:rsidR="00745F6A" w:rsidRPr="00745F6A">
        <w:rPr>
          <w:rFonts w:eastAsia="Times New Roman" w:cs="Times New Roman"/>
          <w:color w:val="000000"/>
        </w:rPr>
        <w:t xml:space="preserve">Madrigal, </w:t>
      </w:r>
      <w:r w:rsidR="00745F6A" w:rsidRPr="00403D85">
        <w:rPr>
          <w:rFonts w:eastAsia="Times New Roman" w:cs="Times New Roman"/>
          <w:i/>
          <w:iCs/>
          <w:color w:val="000000"/>
        </w:rPr>
        <w:t>The Lies You’ve Been Told About the Origins of the QWERTY Keyboard</w:t>
      </w:r>
      <w:r w:rsidR="00745F6A" w:rsidRPr="00745F6A">
        <w:rPr>
          <w:rFonts w:eastAsia="Times New Roman" w:cs="Times New Roman"/>
          <w:color w:val="000000"/>
        </w:rPr>
        <w:t xml:space="preserve">, </w:t>
      </w:r>
      <w:r w:rsidR="00745F6A" w:rsidRPr="00403D85">
        <w:rPr>
          <w:rFonts w:eastAsia="Times New Roman" w:cs="Times New Roman"/>
          <w:smallCaps/>
          <w:color w:val="000000"/>
        </w:rPr>
        <w:t>The Atlantic</w:t>
      </w:r>
      <w:r w:rsidR="00745F6A">
        <w:rPr>
          <w:rFonts w:eastAsia="Times New Roman" w:cs="Times New Roman"/>
          <w:color w:val="000000"/>
        </w:rPr>
        <w:t>,</w:t>
      </w:r>
      <w:r w:rsidR="00745F6A" w:rsidRPr="00745F6A">
        <w:rPr>
          <w:rFonts w:eastAsia="Times New Roman" w:cs="Times New Roman"/>
          <w:color w:val="000000"/>
        </w:rPr>
        <w:t xml:space="preserve"> (May 3, 2013).</w:t>
      </w:r>
    </w:p>
  </w:footnote>
  <w:footnote w:id="109">
    <w:p w14:paraId="655DF26C" w14:textId="4EE8A481" w:rsidR="00F61D82" w:rsidRPr="00BE4144" w:rsidRDefault="00F61D8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745F6A">
        <w:rPr>
          <w:rFonts w:eastAsia="Times New Roman" w:cs="Times New Roman"/>
          <w:color w:val="000000"/>
        </w:rPr>
        <w:t xml:space="preserve">Yochai </w:t>
      </w:r>
      <w:proofErr w:type="spellStart"/>
      <w:r w:rsidRPr="00BE4144">
        <w:rPr>
          <w:rFonts w:eastAsia="Times New Roman" w:cs="Times New Roman"/>
          <w:color w:val="000000"/>
        </w:rPr>
        <w:t>Benckler</w:t>
      </w:r>
      <w:proofErr w:type="spellEnd"/>
      <w:r w:rsidR="00745F6A">
        <w:rPr>
          <w:rFonts w:eastAsia="Times New Roman" w:cs="Times New Roman"/>
          <w:color w:val="000000"/>
        </w:rPr>
        <w:t xml:space="preserve">, </w:t>
      </w:r>
      <w:r w:rsidR="00745F6A" w:rsidRPr="00403D85">
        <w:rPr>
          <w:rFonts w:eastAsia="Times New Roman" w:cs="Times New Roman"/>
          <w:i/>
          <w:iCs/>
          <w:color w:val="222222"/>
          <w:szCs w:val="24"/>
          <w:shd w:val="clear" w:color="auto" w:fill="FFFFFF"/>
        </w:rPr>
        <w:t>Peer Production, The Commons, and The Future of the Firm</w:t>
      </w:r>
      <w:r w:rsidR="00745F6A">
        <w:rPr>
          <w:rFonts w:eastAsia="Times New Roman" w:cs="Times New Roman"/>
          <w:color w:val="000000"/>
        </w:rPr>
        <w:t>, 15 Strategic Org. 264 (</w:t>
      </w:r>
      <w:r w:rsidRPr="00BE4144">
        <w:rPr>
          <w:rFonts w:eastAsia="Times New Roman" w:cs="Times New Roman"/>
          <w:color w:val="000000"/>
        </w:rPr>
        <w:t>2017</w:t>
      </w:r>
      <w:r w:rsidR="00745F6A">
        <w:rPr>
          <w:rFonts w:eastAsia="Times New Roman" w:cs="Times New Roman"/>
          <w:color w:val="000000"/>
        </w:rPr>
        <w:t>)</w:t>
      </w:r>
      <w:r w:rsidRPr="00BE4144">
        <w:rPr>
          <w:rFonts w:eastAsia="Times New Roman" w:cs="Times New Roman"/>
          <w:color w:val="000000"/>
        </w:rPr>
        <w:t xml:space="preserve">; </w:t>
      </w:r>
      <w:r w:rsidR="00745F6A">
        <w:rPr>
          <w:rFonts w:eastAsia="Times New Roman" w:cs="Times New Roman"/>
          <w:color w:val="000000"/>
        </w:rPr>
        <w:t xml:space="preserve">Edwin </w:t>
      </w:r>
      <w:r w:rsidRPr="00BE4144">
        <w:rPr>
          <w:rFonts w:eastAsia="Times New Roman" w:cs="Times New Roman"/>
          <w:color w:val="000000"/>
        </w:rPr>
        <w:t>Mansfield</w:t>
      </w:r>
      <w:r w:rsidR="00745F6A">
        <w:rPr>
          <w:rFonts w:eastAsia="Times New Roman" w:cs="Times New Roman"/>
          <w:color w:val="000000"/>
        </w:rPr>
        <w:t xml:space="preserve">, </w:t>
      </w:r>
      <w:r w:rsidR="00745F6A">
        <w:rPr>
          <w:rFonts w:eastAsia="Times New Roman" w:cs="Times New Roman"/>
          <w:i/>
          <w:iCs/>
          <w:color w:val="000000"/>
        </w:rPr>
        <w:t>Patents and Innovation: An Empirical Study</w:t>
      </w:r>
      <w:r w:rsidR="00745F6A">
        <w:rPr>
          <w:rFonts w:eastAsia="Times New Roman" w:cs="Times New Roman"/>
          <w:color w:val="000000"/>
        </w:rPr>
        <w:t xml:space="preserve">, </w:t>
      </w:r>
      <w:r w:rsidR="002E043C">
        <w:rPr>
          <w:rFonts w:eastAsia="Times New Roman" w:cs="Times New Roman"/>
          <w:color w:val="000000"/>
        </w:rPr>
        <w:t>32 Mgmt. Sci. 173</w:t>
      </w:r>
      <w:r w:rsidRPr="00BE4144">
        <w:rPr>
          <w:rFonts w:eastAsia="Times New Roman" w:cs="Times New Roman"/>
          <w:color w:val="000000"/>
        </w:rPr>
        <w:t xml:space="preserve"> </w:t>
      </w:r>
      <w:r w:rsidR="002E043C">
        <w:rPr>
          <w:rFonts w:eastAsia="Times New Roman" w:cs="Times New Roman"/>
          <w:color w:val="000000"/>
        </w:rPr>
        <w:t>(</w:t>
      </w:r>
      <w:r w:rsidRPr="00BE4144">
        <w:rPr>
          <w:rFonts w:eastAsia="Times New Roman" w:cs="Times New Roman"/>
          <w:color w:val="000000"/>
        </w:rPr>
        <w:t>1986</w:t>
      </w:r>
      <w:r w:rsidR="002E043C">
        <w:rPr>
          <w:rFonts w:eastAsia="Times New Roman" w:cs="Times New Roman"/>
          <w:color w:val="000000"/>
        </w:rPr>
        <w:t>)</w:t>
      </w:r>
      <w:r w:rsidRPr="00BE4144">
        <w:rPr>
          <w:rFonts w:eastAsia="Times New Roman" w:cs="Times New Roman"/>
          <w:color w:val="000000"/>
        </w:rPr>
        <w:t xml:space="preserve">; </w:t>
      </w:r>
      <w:proofErr w:type="spellStart"/>
      <w:r w:rsidR="002E043C" w:rsidRPr="00403D85">
        <w:rPr>
          <w:rFonts w:eastAsia="Times New Roman" w:cs="Times New Roman"/>
          <w:smallCaps/>
          <w:color w:val="000000"/>
        </w:rPr>
        <w:t>Zhongmin</w:t>
      </w:r>
      <w:proofErr w:type="spellEnd"/>
      <w:r w:rsidR="002E043C" w:rsidRPr="00403D85">
        <w:rPr>
          <w:rFonts w:eastAsia="Times New Roman" w:cs="Times New Roman"/>
          <w:smallCaps/>
          <w:color w:val="000000"/>
        </w:rPr>
        <w:t xml:space="preserve"> Wang &amp; Alan Krupnick, </w:t>
      </w:r>
      <w:r w:rsidR="002E043C" w:rsidRPr="00403D85">
        <w:rPr>
          <w:smallCaps/>
        </w:rPr>
        <w:t>A Retrospective Review of Shale Gas Development in the United States</w:t>
      </w:r>
      <w:r w:rsidR="002E043C" w:rsidRPr="002E043C">
        <w:rPr>
          <w:rFonts w:eastAsia="Times New Roman" w:cs="Times New Roman"/>
          <w:color w:val="000000"/>
        </w:rPr>
        <w:t xml:space="preserve"> </w:t>
      </w:r>
      <w:r w:rsidR="002E043C">
        <w:rPr>
          <w:rFonts w:eastAsia="Times New Roman" w:cs="Times New Roman"/>
          <w:color w:val="000000"/>
        </w:rPr>
        <w:t xml:space="preserve">(June </w:t>
      </w:r>
      <w:r w:rsidRPr="00BE4144">
        <w:rPr>
          <w:rFonts w:eastAsia="Times New Roman" w:cs="Times New Roman"/>
          <w:color w:val="000000"/>
        </w:rPr>
        <w:t>2013</w:t>
      </w:r>
      <w:r w:rsidR="002E043C">
        <w:rPr>
          <w:rFonts w:eastAsia="Times New Roman" w:cs="Times New Roman"/>
          <w:color w:val="000000"/>
        </w:rPr>
        <w:t>) (Discussion Paper)</w:t>
      </w:r>
      <w:r w:rsidRPr="00BE4144">
        <w:rPr>
          <w:rFonts w:eastAsia="Times New Roman" w:cs="Times New Roman"/>
          <w:color w:val="000000"/>
        </w:rPr>
        <w:t>; Golden &amp; Wiseman</w:t>
      </w:r>
      <w:r w:rsidR="002E043C">
        <w:rPr>
          <w:rFonts w:eastAsia="Times New Roman" w:cs="Times New Roman"/>
          <w:color w:val="000000"/>
        </w:rPr>
        <w:t xml:space="preserve">, </w:t>
      </w:r>
      <w:r w:rsidR="002E043C">
        <w:rPr>
          <w:rFonts w:eastAsia="Times New Roman" w:cs="Times New Roman"/>
          <w:i/>
          <w:iCs/>
          <w:color w:val="000000"/>
        </w:rPr>
        <w:t xml:space="preserve">supra </w:t>
      </w:r>
      <w:r w:rsidR="002E043C">
        <w:rPr>
          <w:rFonts w:eastAsia="Times New Roman" w:cs="Times New Roman"/>
          <w:color w:val="000000"/>
        </w:rPr>
        <w:t xml:space="preserve">note </w:t>
      </w:r>
      <w:r w:rsidR="002E043C">
        <w:rPr>
          <w:rFonts w:eastAsia="Times New Roman" w:cs="Times New Roman"/>
          <w:color w:val="000000"/>
        </w:rPr>
        <w:fldChar w:fldCharType="begin"/>
      </w:r>
      <w:r w:rsidR="002E043C">
        <w:rPr>
          <w:rFonts w:eastAsia="Times New Roman" w:cs="Times New Roman"/>
          <w:color w:val="000000"/>
        </w:rPr>
        <w:instrText xml:space="preserve"> NOTEREF _Ref142232469 \h </w:instrText>
      </w:r>
      <w:r w:rsidR="002E043C">
        <w:rPr>
          <w:rFonts w:eastAsia="Times New Roman" w:cs="Times New Roman"/>
          <w:color w:val="000000"/>
        </w:rPr>
      </w:r>
      <w:r w:rsidR="002E043C">
        <w:rPr>
          <w:rFonts w:eastAsia="Times New Roman" w:cs="Times New Roman"/>
          <w:color w:val="000000"/>
        </w:rPr>
        <w:fldChar w:fldCharType="separate"/>
      </w:r>
      <w:r w:rsidR="002E043C">
        <w:rPr>
          <w:rFonts w:eastAsia="Times New Roman" w:cs="Times New Roman"/>
          <w:color w:val="000000"/>
        </w:rPr>
        <w:t>12</w:t>
      </w:r>
      <w:r w:rsidR="002E043C">
        <w:rPr>
          <w:rFonts w:eastAsia="Times New Roman" w:cs="Times New Roman"/>
          <w:color w:val="000000"/>
        </w:rPr>
        <w:fldChar w:fldCharType="end"/>
      </w:r>
      <w:r w:rsidRPr="00BE4144">
        <w:rPr>
          <w:rFonts w:eastAsia="Times New Roman" w:cs="Times New Roman"/>
          <w:color w:val="000000"/>
        </w:rPr>
        <w:t>.</w:t>
      </w:r>
    </w:p>
  </w:footnote>
  <w:footnote w:id="110">
    <w:p w14:paraId="37F42F61" w14:textId="279E5EDD" w:rsidR="005D17B2" w:rsidRPr="005D17B2" w:rsidRDefault="005D17B2">
      <w:pPr>
        <w:pStyle w:val="FootnoteText"/>
      </w:pPr>
      <w:r>
        <w:rPr>
          <w:rStyle w:val="FootnoteReference"/>
        </w:rPr>
        <w:footnoteRef/>
      </w:r>
      <w:r>
        <w:t xml:space="preserve"> </w:t>
      </w:r>
      <w:r>
        <w:rPr>
          <w:i/>
          <w:iCs/>
        </w:rPr>
        <w:t xml:space="preserve">But see </w:t>
      </w:r>
      <w:r>
        <w:t xml:space="preserve">Tejas </w:t>
      </w:r>
      <w:proofErr w:type="spellStart"/>
      <w:r>
        <w:t>Narechania</w:t>
      </w:r>
      <w:proofErr w:type="spellEnd"/>
      <w:r>
        <w:t xml:space="preserve">, </w:t>
      </w:r>
      <w:r>
        <w:rPr>
          <w:i/>
          <w:iCs/>
        </w:rPr>
        <w:t>Machine Learning as a Natural Monopoly</w:t>
      </w:r>
      <w:r>
        <w:t xml:space="preserve">, 107 Iowa L. Rev. 1543 (2022) (arguing that machine learning, which is a form of AI, does have </w:t>
      </w:r>
      <w:r w:rsidR="007049EA">
        <w:t>certain features that make it more like a natural monopoly).</w:t>
      </w:r>
    </w:p>
  </w:footnote>
  <w:footnote w:id="111">
    <w:p w14:paraId="7E3000EC" w14:textId="534D453A" w:rsidR="003F2FC2" w:rsidRPr="00BE4144" w:rsidRDefault="003F2FC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983856" w:rsidRPr="00BE4144">
        <w:rPr>
          <w:rFonts w:cs="Times New Roman"/>
        </w:rPr>
        <w:t>Statement by Vice President of Global Affairs of OpenAI that “[a]</w:t>
      </w:r>
      <w:proofErr w:type="spellStart"/>
      <w:r w:rsidR="00983856" w:rsidRPr="00BE4144">
        <w:rPr>
          <w:rFonts w:cs="Times New Roman"/>
        </w:rPr>
        <w:t>dvanced</w:t>
      </w:r>
      <w:proofErr w:type="spellEnd"/>
      <w:r w:rsidR="00983856" w:rsidRPr="00BE4144">
        <w:rPr>
          <w:rFonts w:cs="Times New Roman"/>
        </w:rPr>
        <w:t xml:space="preserve"> AI technologies have the potential to profoundly benefit society, and the ability to achieve this potential requires oversight and governance”); </w:t>
      </w:r>
      <w:r w:rsidR="00983856" w:rsidRPr="00BE4144">
        <w:rPr>
          <w:rFonts w:cs="Times New Roman"/>
          <w:i/>
          <w:iCs/>
        </w:rPr>
        <w:t xml:space="preserve">supra </w:t>
      </w:r>
      <w:r w:rsidR="007C1EF2" w:rsidRPr="00BE4144">
        <w:rPr>
          <w:rFonts w:cs="Times New Roman"/>
        </w:rPr>
        <w:t xml:space="preserve">text accompanying note </w:t>
      </w:r>
      <w:r w:rsidR="007C1EF2" w:rsidRPr="00BE4144">
        <w:rPr>
          <w:rFonts w:cs="Times New Roman"/>
        </w:rPr>
        <w:fldChar w:fldCharType="begin"/>
      </w:r>
      <w:r w:rsidR="007C1EF2" w:rsidRPr="00BE4144">
        <w:rPr>
          <w:rFonts w:cs="Times New Roman"/>
        </w:rPr>
        <w:instrText xml:space="preserve"> NOTEREF _Ref141703323 \h </w:instrText>
      </w:r>
      <w:r w:rsidR="00BE4144" w:rsidRPr="00BE4144">
        <w:rPr>
          <w:rFonts w:cs="Times New Roman"/>
        </w:rPr>
        <w:instrText xml:space="preserve"> \* MERGEFORMAT </w:instrText>
      </w:r>
      <w:r w:rsidR="007C1EF2" w:rsidRPr="00BE4144">
        <w:rPr>
          <w:rFonts w:cs="Times New Roman"/>
        </w:rPr>
      </w:r>
      <w:r w:rsidR="007C1EF2" w:rsidRPr="00BE4144">
        <w:rPr>
          <w:rFonts w:cs="Times New Roman"/>
        </w:rPr>
        <w:fldChar w:fldCharType="separate"/>
      </w:r>
      <w:r w:rsidR="007C1EF2" w:rsidRPr="00BE4144">
        <w:rPr>
          <w:rFonts w:cs="Times New Roman"/>
        </w:rPr>
        <w:t>86</w:t>
      </w:r>
      <w:r w:rsidR="007C1EF2" w:rsidRPr="00BE4144">
        <w:rPr>
          <w:rFonts w:cs="Times New Roman"/>
        </w:rPr>
        <w:fldChar w:fldCharType="end"/>
      </w:r>
      <w:r w:rsidR="002E043C">
        <w:rPr>
          <w:rFonts w:cs="Times New Roman"/>
        </w:rPr>
        <w:t>.</w:t>
      </w:r>
      <w:r w:rsidR="00983856" w:rsidRPr="00BE4144">
        <w:rPr>
          <w:rFonts w:cs="Times New Roman"/>
        </w:rPr>
        <w:t xml:space="preserve"> </w:t>
      </w:r>
    </w:p>
  </w:footnote>
  <w:footnote w:id="112">
    <w:p w14:paraId="2EC65286" w14:textId="4DFBD91B" w:rsidR="00A84DD6" w:rsidRPr="00BE4144" w:rsidRDefault="00A84DD6"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2E043C" w:rsidRPr="002E043C">
        <w:rPr>
          <w:rFonts w:cs="Times New Roman"/>
        </w:rPr>
        <w:t xml:space="preserve">Steve Griffiths, Benjamin K. </w:t>
      </w:r>
      <w:proofErr w:type="spellStart"/>
      <w:r w:rsidR="002E043C" w:rsidRPr="002E043C">
        <w:rPr>
          <w:rFonts w:cs="Times New Roman"/>
        </w:rPr>
        <w:t>Sovacool</w:t>
      </w:r>
      <w:proofErr w:type="spellEnd"/>
      <w:r w:rsidR="002E043C">
        <w:rPr>
          <w:rFonts w:cs="Times New Roman"/>
        </w:rPr>
        <w:t>,</w:t>
      </w:r>
      <w:r w:rsidR="002E043C" w:rsidRPr="002E043C">
        <w:rPr>
          <w:rFonts w:cs="Times New Roman"/>
        </w:rPr>
        <w:t xml:space="preserve"> </w:t>
      </w:r>
      <w:proofErr w:type="spellStart"/>
      <w:r w:rsidR="002E043C" w:rsidRPr="002E043C">
        <w:rPr>
          <w:rFonts w:cs="Times New Roman"/>
        </w:rPr>
        <w:t>Jinsoo</w:t>
      </w:r>
      <w:proofErr w:type="spellEnd"/>
      <w:r w:rsidR="002E043C" w:rsidRPr="002E043C">
        <w:rPr>
          <w:rFonts w:cs="Times New Roman"/>
        </w:rPr>
        <w:t xml:space="preserve"> Kim, Morgan </w:t>
      </w:r>
      <w:proofErr w:type="spellStart"/>
      <w:r w:rsidR="002E043C" w:rsidRPr="002E043C">
        <w:rPr>
          <w:rFonts w:cs="Times New Roman"/>
        </w:rPr>
        <w:t>Bazilian</w:t>
      </w:r>
      <w:proofErr w:type="spellEnd"/>
      <w:r w:rsidR="002E043C">
        <w:rPr>
          <w:rFonts w:cs="Times New Roman"/>
        </w:rPr>
        <w:t xml:space="preserve"> &amp;</w:t>
      </w:r>
      <w:r w:rsidR="002E043C" w:rsidRPr="002E043C">
        <w:rPr>
          <w:rFonts w:cs="Times New Roman"/>
        </w:rPr>
        <w:t xml:space="preserve"> Joao M. </w:t>
      </w:r>
      <w:proofErr w:type="spellStart"/>
      <w:r w:rsidR="002E043C" w:rsidRPr="002E043C">
        <w:rPr>
          <w:rFonts w:cs="Times New Roman"/>
        </w:rPr>
        <w:t>Uratani</w:t>
      </w:r>
      <w:proofErr w:type="spellEnd"/>
      <w:r w:rsidR="002E043C">
        <w:rPr>
          <w:rFonts w:cs="Times New Roman"/>
        </w:rPr>
        <w:t xml:space="preserve">, </w:t>
      </w:r>
      <w:r w:rsidR="002E043C" w:rsidRPr="00403D85">
        <w:rPr>
          <w:rFonts w:cs="Times New Roman"/>
          <w:i/>
          <w:iCs/>
        </w:rPr>
        <w:t xml:space="preserve">Industrial </w:t>
      </w:r>
      <w:r w:rsidR="002E043C" w:rsidRPr="002E043C">
        <w:rPr>
          <w:rFonts w:cs="Times New Roman"/>
          <w:i/>
          <w:iCs/>
        </w:rPr>
        <w:t xml:space="preserve">Decarbonization Via Hydrogen: </w:t>
      </w:r>
      <w:r w:rsidR="002E043C" w:rsidRPr="00403D85">
        <w:rPr>
          <w:rFonts w:cs="Times New Roman"/>
          <w:i/>
          <w:iCs/>
        </w:rPr>
        <w:t xml:space="preserve">A </w:t>
      </w:r>
      <w:r w:rsidR="002E043C" w:rsidRPr="002E043C">
        <w:rPr>
          <w:rFonts w:cs="Times New Roman"/>
          <w:i/>
          <w:iCs/>
        </w:rPr>
        <w:t xml:space="preserve">Critical </w:t>
      </w:r>
      <w:r w:rsidR="002E043C">
        <w:rPr>
          <w:rFonts w:cs="Times New Roman"/>
          <w:i/>
          <w:iCs/>
        </w:rPr>
        <w:t>a</w:t>
      </w:r>
      <w:r w:rsidR="002E043C" w:rsidRPr="002E043C">
        <w:rPr>
          <w:rFonts w:cs="Times New Roman"/>
          <w:i/>
          <w:iCs/>
        </w:rPr>
        <w:t xml:space="preserve">nd Systematic Review </w:t>
      </w:r>
      <w:r w:rsidR="002E043C">
        <w:rPr>
          <w:rFonts w:cs="Times New Roman"/>
          <w:i/>
          <w:iCs/>
        </w:rPr>
        <w:t>o</w:t>
      </w:r>
      <w:r w:rsidR="002E043C" w:rsidRPr="002E043C">
        <w:rPr>
          <w:rFonts w:cs="Times New Roman"/>
          <w:i/>
          <w:iCs/>
        </w:rPr>
        <w:t xml:space="preserve">f Developments, Socio-Technical Systems </w:t>
      </w:r>
      <w:r w:rsidR="002E043C">
        <w:rPr>
          <w:rFonts w:cs="Times New Roman"/>
          <w:i/>
          <w:iCs/>
        </w:rPr>
        <w:t>a</w:t>
      </w:r>
      <w:r w:rsidR="002E043C" w:rsidRPr="002E043C">
        <w:rPr>
          <w:rFonts w:cs="Times New Roman"/>
          <w:i/>
          <w:iCs/>
        </w:rPr>
        <w:t>nd Policy Options</w:t>
      </w:r>
      <w:r w:rsidR="002E043C">
        <w:rPr>
          <w:rFonts w:cs="Times New Roman"/>
        </w:rPr>
        <w:t xml:space="preserve">, 80 Energy </w:t>
      </w:r>
      <w:proofErr w:type="spellStart"/>
      <w:r w:rsidR="002E043C">
        <w:rPr>
          <w:rFonts w:cs="Times New Roman"/>
        </w:rPr>
        <w:t>Rsch</w:t>
      </w:r>
      <w:proofErr w:type="spellEnd"/>
      <w:r w:rsidR="002E043C">
        <w:rPr>
          <w:rFonts w:cs="Times New Roman"/>
        </w:rPr>
        <w:t>. &amp; Soc. Sci. 102208 (2021).</w:t>
      </w:r>
      <w:r w:rsidR="002E043C" w:rsidRPr="002E043C" w:rsidDel="002E043C">
        <w:rPr>
          <w:rFonts w:cs="Times New Roman"/>
        </w:rPr>
        <w:t xml:space="preserve"> </w:t>
      </w:r>
    </w:p>
  </w:footnote>
  <w:footnote w:id="113">
    <w:p w14:paraId="0B9E946C" w14:textId="51C4BE65" w:rsidR="00A84DD6" w:rsidRPr="00BE4144" w:rsidRDefault="00A84DD6"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1C2E30" w:rsidRPr="00403D85">
        <w:rPr>
          <w:rFonts w:cs="Times New Roman"/>
          <w:smallCaps/>
        </w:rPr>
        <w:t xml:space="preserve">Legal Pathways to Deep Decarbonization in the United States: Summary and Key Recommendations </w:t>
      </w:r>
      <w:r w:rsidR="001C2E30">
        <w:rPr>
          <w:rFonts w:cs="Times New Roman"/>
        </w:rPr>
        <w:t>(</w:t>
      </w:r>
      <w:r w:rsidR="001C2E30">
        <w:rPr>
          <w:rFonts w:eastAsia="Times New Roman" w:cs="Times New Roman"/>
          <w:color w:val="000000"/>
        </w:rPr>
        <w:t xml:space="preserve">Michael B. </w:t>
      </w:r>
      <w:r w:rsidR="00384B29" w:rsidRPr="00BE4144">
        <w:rPr>
          <w:rFonts w:eastAsia="Times New Roman" w:cs="Times New Roman"/>
          <w:color w:val="000000"/>
        </w:rPr>
        <w:t xml:space="preserve">Gerrard &amp; </w:t>
      </w:r>
      <w:r w:rsidR="001C2E30">
        <w:rPr>
          <w:rFonts w:eastAsia="Times New Roman" w:cs="Times New Roman"/>
          <w:color w:val="000000"/>
        </w:rPr>
        <w:t xml:space="preserve">John C. </w:t>
      </w:r>
      <w:r w:rsidR="00384B29" w:rsidRPr="00BE4144">
        <w:rPr>
          <w:rFonts w:eastAsia="Times New Roman" w:cs="Times New Roman"/>
          <w:color w:val="000000"/>
        </w:rPr>
        <w:t>Dernbach</w:t>
      </w:r>
      <w:r w:rsidR="001C2E30">
        <w:rPr>
          <w:rFonts w:eastAsia="Times New Roman" w:cs="Times New Roman"/>
          <w:color w:val="000000"/>
        </w:rPr>
        <w:t xml:space="preserve"> eds.</w:t>
      </w:r>
      <w:r w:rsidR="00384B29" w:rsidRPr="00BE4144">
        <w:rPr>
          <w:rFonts w:eastAsia="Times New Roman" w:cs="Times New Roman"/>
          <w:color w:val="000000"/>
        </w:rPr>
        <w:t xml:space="preserve"> 2019).</w:t>
      </w:r>
    </w:p>
  </w:footnote>
  <w:footnote w:id="114">
    <w:p w14:paraId="1E8DD573" w14:textId="50B255BE" w:rsidR="00F56F9E" w:rsidRPr="00BE4144" w:rsidRDefault="00F56F9E"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1C2E30">
        <w:rPr>
          <w:rFonts w:eastAsia="Times New Roman" w:cs="Times New Roman"/>
          <w:color w:val="000000"/>
        </w:rPr>
        <w:t xml:space="preserve">Sean </w:t>
      </w:r>
      <w:r w:rsidR="00384B29" w:rsidRPr="00BE4144">
        <w:rPr>
          <w:rFonts w:eastAsia="Times New Roman" w:cs="Times New Roman"/>
          <w:color w:val="000000"/>
        </w:rPr>
        <w:t>O’Neil</w:t>
      </w:r>
      <w:r w:rsidR="001C2E30">
        <w:rPr>
          <w:rFonts w:eastAsia="Times New Roman" w:cs="Times New Roman"/>
          <w:color w:val="000000"/>
        </w:rPr>
        <w:t xml:space="preserve">, </w:t>
      </w:r>
      <w:r w:rsidR="001C2E30">
        <w:rPr>
          <w:rFonts w:eastAsia="Times New Roman" w:cs="Times New Roman"/>
          <w:i/>
          <w:iCs/>
          <w:color w:val="000000"/>
        </w:rPr>
        <w:t>Unlocking the Potential of Hydrogen Energy Storage</w:t>
      </w:r>
      <w:r w:rsidR="001C2E30">
        <w:rPr>
          <w:rFonts w:eastAsia="Times New Roman" w:cs="Times New Roman"/>
          <w:color w:val="000000"/>
        </w:rPr>
        <w:t>, Fuel Cell &amp; Hydrogen Energy Association, (July 22,</w:t>
      </w:r>
      <w:r w:rsidR="00384B29" w:rsidRPr="00BE4144">
        <w:rPr>
          <w:rFonts w:eastAsia="Times New Roman" w:cs="Times New Roman"/>
          <w:color w:val="000000"/>
        </w:rPr>
        <w:t xml:space="preserve"> 2019)</w:t>
      </w:r>
      <w:r w:rsidR="001C2E30">
        <w:rPr>
          <w:rFonts w:eastAsia="Times New Roman" w:cs="Times New Roman"/>
          <w:color w:val="000000"/>
        </w:rPr>
        <w:t>.</w:t>
      </w:r>
      <w:r w:rsidR="00384B29" w:rsidRPr="00BE4144">
        <w:rPr>
          <w:rFonts w:eastAsia="Times New Roman" w:cs="Times New Roman"/>
          <w:color w:val="000000"/>
        </w:rPr>
        <w:t xml:space="preserve"> </w:t>
      </w:r>
      <w:r w:rsidRPr="00BE4144">
        <w:rPr>
          <w:rFonts w:cs="Times New Roman"/>
        </w:rPr>
        <w:t>As with all energy sources, hydrogen is not a panacea, however. Using fuel as opposed to electricity to power most tasks is far less efficient, and producing hydrogen fuel</w:t>
      </w:r>
      <w:proofErr w:type="gramStart"/>
      <w:r w:rsidRPr="00BE4144">
        <w:rPr>
          <w:rFonts w:cs="Times New Roman"/>
        </w:rPr>
        <w:t>, in particular, is</w:t>
      </w:r>
      <w:proofErr w:type="gramEnd"/>
      <w:r w:rsidRPr="00BE4144">
        <w:rPr>
          <w:rFonts w:cs="Times New Roman"/>
        </w:rPr>
        <w:t xml:space="preserve"> an energy intensive endeavor. Frank </w:t>
      </w:r>
      <w:proofErr w:type="spellStart"/>
      <w:r w:rsidRPr="00BE4144">
        <w:rPr>
          <w:rFonts w:cs="Times New Roman"/>
        </w:rPr>
        <w:t>Escombe</w:t>
      </w:r>
      <w:proofErr w:type="spellEnd"/>
      <w:r w:rsidRPr="00BE4144">
        <w:rPr>
          <w:rFonts w:cs="Times New Roman"/>
        </w:rPr>
        <w:t xml:space="preserve">, </w:t>
      </w:r>
      <w:r w:rsidRPr="00BE4144">
        <w:rPr>
          <w:rFonts w:cs="Times New Roman"/>
          <w:i/>
          <w:iCs/>
        </w:rPr>
        <w:t>Novel hydroelectric storage concepts</w:t>
      </w:r>
      <w:r w:rsidRPr="00BE4144">
        <w:rPr>
          <w:rFonts w:cs="Times New Roman"/>
        </w:rPr>
        <w:t xml:space="preserve">, </w:t>
      </w:r>
      <w:r w:rsidRPr="00BE4144">
        <w:rPr>
          <w:rFonts w:cs="Times New Roman"/>
          <w:i/>
          <w:iCs/>
        </w:rPr>
        <w:t xml:space="preserve">in </w:t>
      </w:r>
      <w:r w:rsidRPr="00BE4144">
        <w:rPr>
          <w:rFonts w:cs="Times New Roman"/>
          <w:smallCaps/>
        </w:rPr>
        <w:t>Storing Energy</w:t>
      </w:r>
      <w:r w:rsidRPr="00BE4144">
        <w:rPr>
          <w:rFonts w:cs="Times New Roman"/>
        </w:rPr>
        <w:t xml:space="preserve"> 67, 88 (2d. ed. 2022) (noting that approximately 4 megawatt-hours (MWh) of electricity are required to produce 3MWh of zero-carbon hydrogen). </w:t>
      </w:r>
    </w:p>
  </w:footnote>
  <w:footnote w:id="115">
    <w:p w14:paraId="287D6DFB" w14:textId="305BBA02" w:rsidR="00384B29" w:rsidRPr="00BE4144" w:rsidRDefault="00384B2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1C2E30" w:rsidRPr="00403D85">
        <w:rPr>
          <w:rFonts w:eastAsia="Times New Roman" w:cs="Times New Roman"/>
          <w:i/>
          <w:iCs/>
          <w:color w:val="000000"/>
        </w:rPr>
        <w:t xml:space="preserve">Hydrogen Investment Pipeline Grows To $500 Billion In Response </w:t>
      </w:r>
      <w:proofErr w:type="gramStart"/>
      <w:r w:rsidR="001C2E30" w:rsidRPr="00403D85">
        <w:rPr>
          <w:rFonts w:eastAsia="Times New Roman" w:cs="Times New Roman"/>
          <w:i/>
          <w:iCs/>
          <w:color w:val="000000"/>
        </w:rPr>
        <w:t>To</w:t>
      </w:r>
      <w:proofErr w:type="gramEnd"/>
      <w:r w:rsidR="001C2E30" w:rsidRPr="00403D85">
        <w:rPr>
          <w:rFonts w:eastAsia="Times New Roman" w:cs="Times New Roman"/>
          <w:i/>
          <w:iCs/>
          <w:color w:val="000000"/>
        </w:rPr>
        <w:t xml:space="preserve"> Government Commitments To Deep </w:t>
      </w:r>
      <w:proofErr w:type="spellStart"/>
      <w:r w:rsidR="001C2E30" w:rsidRPr="00403D85">
        <w:rPr>
          <w:rFonts w:eastAsia="Times New Roman" w:cs="Times New Roman"/>
          <w:i/>
          <w:iCs/>
          <w:color w:val="000000"/>
        </w:rPr>
        <w:t>Decarbonisation</w:t>
      </w:r>
      <w:proofErr w:type="spellEnd"/>
      <w:r w:rsidR="001C2E30">
        <w:rPr>
          <w:rFonts w:eastAsia="Times New Roman" w:cs="Times New Roman"/>
          <w:color w:val="000000"/>
        </w:rPr>
        <w:t xml:space="preserve">, </w:t>
      </w:r>
      <w:r w:rsidR="001C2E30" w:rsidRPr="00403D85">
        <w:rPr>
          <w:rFonts w:eastAsia="Times New Roman" w:cs="Times New Roman"/>
          <w:smallCaps/>
          <w:color w:val="000000"/>
        </w:rPr>
        <w:t>Hydrogen Council,</w:t>
      </w:r>
      <w:r w:rsidR="001C2E30">
        <w:rPr>
          <w:rFonts w:eastAsia="Times New Roman" w:cs="Times New Roman"/>
          <w:color w:val="000000"/>
        </w:rPr>
        <w:t xml:space="preserve"> (July 15,</w:t>
      </w:r>
      <w:r w:rsidRPr="00BE4144">
        <w:rPr>
          <w:rFonts w:eastAsia="Times New Roman" w:cs="Times New Roman"/>
          <w:color w:val="000000"/>
        </w:rPr>
        <w:t xml:space="preserve"> 2021</w:t>
      </w:r>
      <w:r w:rsidR="001C2E30">
        <w:rPr>
          <w:rFonts w:eastAsia="Times New Roman" w:cs="Times New Roman"/>
          <w:color w:val="000000"/>
        </w:rPr>
        <w:t>)</w:t>
      </w:r>
      <w:r w:rsidRPr="00BE4144">
        <w:rPr>
          <w:rFonts w:eastAsia="Times New Roman" w:cs="Times New Roman"/>
          <w:color w:val="000000"/>
        </w:rPr>
        <w:t>.</w:t>
      </w:r>
    </w:p>
  </w:footnote>
  <w:footnote w:id="116">
    <w:p w14:paraId="6EF0F6D8" w14:textId="56BC7D2D" w:rsidR="00384B29" w:rsidRPr="00BE4144" w:rsidRDefault="00384B2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eastAsia="Times New Roman" w:cs="Times New Roman"/>
          <w:smallCaps/>
          <w:color w:val="000000"/>
        </w:rPr>
        <w:t>Fuel Cell &amp; Hydrogen Energy Associatio</w:t>
      </w:r>
      <w:r w:rsidR="003B79E3" w:rsidRPr="00403D85">
        <w:rPr>
          <w:rFonts w:eastAsia="Times New Roman" w:cs="Times New Roman"/>
          <w:smallCaps/>
          <w:color w:val="000000"/>
        </w:rPr>
        <w:t>n, AIAA G 095: Guide to Safety of Hydrogen and Hydrogen Systems</w:t>
      </w:r>
      <w:r w:rsidR="003B79E3">
        <w:rPr>
          <w:rFonts w:eastAsia="Times New Roman" w:cs="Times New Roman"/>
          <w:smallCaps/>
          <w:color w:val="000000"/>
        </w:rPr>
        <w:t xml:space="preserve"> (2022), </w:t>
      </w:r>
      <w:hyperlink r:id="rId18" w:history="1">
        <w:r w:rsidR="003B79E3" w:rsidRPr="007571BA">
          <w:rPr>
            <w:rStyle w:val="Hyperlink"/>
            <w:rFonts w:eastAsia="Times New Roman" w:cs="Times New Roman"/>
            <w:szCs w:val="24"/>
            <w:shd w:val="clear" w:color="auto" w:fill="FFFFFF"/>
          </w:rPr>
          <w:t>http://fuelcellstandards.com/aiaaG095.htm</w:t>
        </w:r>
      </w:hyperlink>
      <w:r w:rsidR="003B79E3" w:rsidRPr="00EC79E0">
        <w:rPr>
          <w:rFonts w:eastAsia="Times New Roman" w:cs="Times New Roman"/>
          <w:color w:val="222222"/>
          <w:szCs w:val="24"/>
          <w:shd w:val="clear" w:color="auto" w:fill="FFFFFF"/>
        </w:rPr>
        <w:t>.</w:t>
      </w:r>
      <w:r w:rsidR="003B79E3">
        <w:rPr>
          <w:rFonts w:eastAsia="Times New Roman" w:cs="Times New Roman"/>
          <w:color w:val="222222"/>
          <w:szCs w:val="24"/>
          <w:shd w:val="clear" w:color="auto" w:fill="FFFFFF"/>
        </w:rPr>
        <w:t xml:space="preserve"> </w:t>
      </w:r>
      <w:r w:rsidR="003B79E3" w:rsidRPr="00403D85" w:rsidDel="003B79E3">
        <w:rPr>
          <w:rFonts w:eastAsia="Times New Roman" w:cs="Times New Roman"/>
          <w:smallCaps/>
          <w:color w:val="000000"/>
        </w:rPr>
        <w:t xml:space="preserve"> </w:t>
      </w:r>
    </w:p>
  </w:footnote>
  <w:footnote w:id="117">
    <w:p w14:paraId="7CB8BA23" w14:textId="2DCC2135" w:rsidR="00E653CA" w:rsidRPr="00BE4144" w:rsidRDefault="00E653C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3B79E3" w:rsidRPr="00403D85">
        <w:rPr>
          <w:rFonts w:cs="Times New Roman"/>
          <w:smallCaps/>
        </w:rPr>
        <w:t>Dept. of Energy, Hydrogen Pipelines</w:t>
      </w:r>
      <w:r w:rsidR="003B79E3">
        <w:rPr>
          <w:rFonts w:cs="Times New Roman"/>
        </w:rPr>
        <w:t xml:space="preserve"> </w:t>
      </w:r>
      <w:r w:rsidR="003B79E3">
        <w:rPr>
          <w:rFonts w:eastAsia="Times New Roman" w:cs="Times New Roman"/>
          <w:color w:val="000000"/>
        </w:rPr>
        <w:t xml:space="preserve">(2022), </w:t>
      </w:r>
      <w:hyperlink r:id="rId19" w:anchor=":~:text=Gaseous%20hydrogen%20can%20be%20transported,operating%20in%20the%20United%20States" w:history="1">
        <w:r w:rsidR="003B79E3" w:rsidRPr="00EC79E0">
          <w:rPr>
            <w:rFonts w:eastAsia="Times New Roman" w:cs="Times New Roman"/>
            <w:color w:val="000000"/>
            <w:szCs w:val="24"/>
            <w:shd w:val="clear" w:color="auto" w:fill="FFFFFF"/>
          </w:rPr>
          <w:t>https://www.energy.gov/eere/fuelcells/hydrogen-pipelines#:~:text=Gaseous%20hydrogen%20can%20be%20transported,operating%20in%20the%20United%20States</w:t>
        </w:r>
      </w:hyperlink>
      <w:r w:rsidR="003B79E3" w:rsidRPr="00EC79E0">
        <w:rPr>
          <w:rFonts w:eastAsia="Times New Roman" w:cs="Times New Roman"/>
          <w:color w:val="000000"/>
          <w:szCs w:val="24"/>
          <w:shd w:val="clear" w:color="auto" w:fill="FFFFFF"/>
        </w:rPr>
        <w:t>.</w:t>
      </w:r>
      <w:r w:rsidR="003B79E3">
        <w:rPr>
          <w:rFonts w:eastAsia="Times New Roman" w:cs="Times New Roman"/>
          <w:color w:val="000000"/>
          <w:szCs w:val="24"/>
          <w:shd w:val="clear" w:color="auto" w:fill="FFFFFF"/>
        </w:rPr>
        <w:t xml:space="preserve"> </w:t>
      </w:r>
      <w:r w:rsidR="003B79E3" w:rsidRPr="00EC79E0">
        <w:rPr>
          <w:rFonts w:eastAsia="Times New Roman" w:cs="Times New Roman"/>
          <w:color w:val="000000"/>
          <w:szCs w:val="24"/>
        </w:rPr>
        <w:t> </w:t>
      </w:r>
      <w:r w:rsidR="003B79E3">
        <w:rPr>
          <w:rFonts w:eastAsia="Times New Roman" w:cs="Times New Roman"/>
          <w:color w:val="000000"/>
          <w:szCs w:val="24"/>
        </w:rPr>
        <w:t xml:space="preserve"> </w:t>
      </w:r>
    </w:p>
  </w:footnote>
  <w:footnote w:id="118">
    <w:p w14:paraId="70D074A5" w14:textId="0B22C0C1" w:rsidR="00E653CA" w:rsidRPr="00BE4144" w:rsidRDefault="00E653C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3B79E3" w:rsidRPr="00403D85">
        <w:rPr>
          <w:rFonts w:cs="Times New Roman"/>
          <w:smallCaps/>
        </w:rPr>
        <w:t xml:space="preserve">Dept. of Energy, </w:t>
      </w:r>
      <w:r w:rsidR="003B79E3" w:rsidRPr="00403D85">
        <w:rPr>
          <w:rFonts w:eastAsia="Times New Roman" w:cs="Times New Roman"/>
          <w:smallCaps/>
          <w:color w:val="222222"/>
          <w:szCs w:val="24"/>
        </w:rPr>
        <w:t>No. DOE/EE-2128</w:t>
      </w:r>
      <w:r w:rsidR="003B79E3" w:rsidRPr="00403D85">
        <w:rPr>
          <w:rFonts w:eastAsia="Times New Roman" w:cs="Times New Roman"/>
          <w:smallCaps/>
          <w:color w:val="000000"/>
        </w:rPr>
        <w:t>, Hydrogen Program Plan</w:t>
      </w:r>
      <w:r w:rsidR="003B79E3">
        <w:rPr>
          <w:rFonts w:eastAsia="Times New Roman" w:cs="Times New Roman"/>
          <w:color w:val="000000"/>
        </w:rPr>
        <w:t xml:space="preserve"> </w:t>
      </w:r>
      <w:r w:rsidR="00F23FBC" w:rsidRPr="00BE4144">
        <w:rPr>
          <w:rFonts w:eastAsia="Times New Roman" w:cs="Times New Roman"/>
          <w:color w:val="000000"/>
        </w:rPr>
        <w:t>(</w:t>
      </w:r>
      <w:r w:rsidR="003B79E3">
        <w:rPr>
          <w:rFonts w:eastAsia="Times New Roman" w:cs="Times New Roman"/>
          <w:color w:val="000000"/>
        </w:rPr>
        <w:t>2020)</w:t>
      </w:r>
      <w:r w:rsidR="004656B2">
        <w:rPr>
          <w:rFonts w:eastAsia="Times New Roman" w:cs="Times New Roman"/>
          <w:color w:val="000000"/>
        </w:rPr>
        <w:t xml:space="preserve">, </w:t>
      </w:r>
      <w:hyperlink r:id="rId20" w:history="1">
        <w:r w:rsidR="004656B2" w:rsidRPr="007571BA">
          <w:rPr>
            <w:rStyle w:val="Hyperlink"/>
            <w:rFonts w:eastAsia="Times New Roman" w:cs="Times New Roman"/>
          </w:rPr>
          <w:t>https://www.hydrogen.energy.gov/pdfs/hydrogen-program-plan-2020.pdf</w:t>
        </w:r>
      </w:hyperlink>
      <w:r w:rsidR="004656B2">
        <w:rPr>
          <w:rFonts w:eastAsia="Times New Roman" w:cs="Times New Roman"/>
          <w:color w:val="000000"/>
        </w:rPr>
        <w:t xml:space="preserve">. </w:t>
      </w:r>
      <w:r w:rsidR="003B79E3">
        <w:rPr>
          <w:rFonts w:eastAsia="Times New Roman" w:cs="Times New Roman"/>
          <w:color w:val="000000"/>
        </w:rPr>
        <w:t xml:space="preserve"> </w:t>
      </w:r>
    </w:p>
  </w:footnote>
  <w:footnote w:id="119">
    <w:p w14:paraId="34868155" w14:textId="4F495F10" w:rsidR="00F23FBC" w:rsidRPr="00BE4144" w:rsidRDefault="00F23FB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4656B2">
        <w:rPr>
          <w:rFonts w:eastAsia="Times New Roman" w:cs="Times New Roman"/>
          <w:color w:val="000000"/>
        </w:rPr>
        <w:t xml:space="preserve">Jahel </w:t>
      </w:r>
      <w:r w:rsidRPr="00BE4144">
        <w:rPr>
          <w:rFonts w:eastAsia="Times New Roman" w:cs="Times New Roman"/>
          <w:color w:val="000000"/>
        </w:rPr>
        <w:t xml:space="preserve">Mielke &amp; </w:t>
      </w:r>
      <w:r w:rsidR="004656B2">
        <w:rPr>
          <w:rFonts w:eastAsia="Times New Roman" w:cs="Times New Roman"/>
          <w:color w:val="000000"/>
        </w:rPr>
        <w:t xml:space="preserve">Gesine A. </w:t>
      </w:r>
      <w:proofErr w:type="spellStart"/>
      <w:r w:rsidRPr="00BE4144">
        <w:rPr>
          <w:rFonts w:eastAsia="Times New Roman" w:cs="Times New Roman"/>
          <w:color w:val="000000"/>
        </w:rPr>
        <w:t>Stuedle</w:t>
      </w:r>
      <w:proofErr w:type="spellEnd"/>
      <w:r w:rsidR="004656B2">
        <w:rPr>
          <w:rFonts w:eastAsia="Times New Roman" w:cs="Times New Roman"/>
          <w:color w:val="000000"/>
        </w:rPr>
        <w:t xml:space="preserve">, </w:t>
      </w:r>
      <w:r w:rsidR="004656B2" w:rsidRPr="00403D85">
        <w:rPr>
          <w:rFonts w:eastAsia="Times New Roman" w:cs="Times New Roman"/>
          <w:i/>
          <w:iCs/>
          <w:color w:val="222222"/>
          <w:szCs w:val="24"/>
          <w:shd w:val="clear" w:color="auto" w:fill="FFFFFF"/>
        </w:rPr>
        <w:t>Green Investment and Coordination Failure: An Investors' Perspective</w:t>
      </w:r>
      <w:r w:rsidR="004656B2">
        <w:rPr>
          <w:rFonts w:eastAsia="Times New Roman" w:cs="Times New Roman"/>
          <w:color w:val="222222"/>
          <w:szCs w:val="24"/>
          <w:shd w:val="clear" w:color="auto" w:fill="FFFFFF"/>
        </w:rPr>
        <w:t xml:space="preserve">, 150 </w:t>
      </w:r>
      <w:r w:rsidR="004656B2" w:rsidRPr="00403D85">
        <w:rPr>
          <w:rFonts w:eastAsia="Times New Roman" w:cs="Times New Roman"/>
          <w:smallCaps/>
          <w:color w:val="222222"/>
          <w:szCs w:val="24"/>
          <w:shd w:val="clear" w:color="auto" w:fill="FFFFFF"/>
        </w:rPr>
        <w:t>Ecological Econ.</w:t>
      </w:r>
      <w:r w:rsidR="004656B2">
        <w:rPr>
          <w:rFonts w:eastAsia="Times New Roman" w:cs="Times New Roman"/>
          <w:color w:val="222222"/>
          <w:szCs w:val="24"/>
          <w:shd w:val="clear" w:color="auto" w:fill="FFFFFF"/>
        </w:rPr>
        <w:t xml:space="preserve"> 88</w:t>
      </w:r>
      <w:r w:rsidR="004656B2" w:rsidRPr="00BE4144">
        <w:rPr>
          <w:rFonts w:eastAsia="Times New Roman" w:cs="Times New Roman"/>
          <w:color w:val="000000"/>
        </w:rPr>
        <w:t xml:space="preserve"> </w:t>
      </w:r>
      <w:r w:rsidR="004656B2">
        <w:rPr>
          <w:rFonts w:eastAsia="Times New Roman" w:cs="Times New Roman"/>
          <w:color w:val="000000"/>
        </w:rPr>
        <w:t>(</w:t>
      </w:r>
      <w:r w:rsidRPr="00BE4144">
        <w:rPr>
          <w:rFonts w:eastAsia="Times New Roman" w:cs="Times New Roman"/>
          <w:color w:val="000000"/>
        </w:rPr>
        <w:t>2018)</w:t>
      </w:r>
    </w:p>
  </w:footnote>
  <w:footnote w:id="120">
    <w:p w14:paraId="0E28B189" w14:textId="18AB3666" w:rsidR="00F23FBC" w:rsidRPr="00BE4144" w:rsidRDefault="00F23FB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 Walter</w:t>
      </w:r>
      <w:r w:rsidR="004656B2">
        <w:rPr>
          <w:rFonts w:eastAsia="Times New Roman" w:cs="Times New Roman"/>
          <w:color w:val="000000"/>
        </w:rPr>
        <w:t xml:space="preserve">, </w:t>
      </w:r>
      <w:r w:rsidR="004656B2">
        <w:rPr>
          <w:rFonts w:eastAsia="Times New Roman" w:cs="Times New Roman"/>
          <w:i/>
          <w:iCs/>
          <w:color w:val="000000"/>
        </w:rPr>
        <w:t xml:space="preserve">supra </w:t>
      </w:r>
      <w:r w:rsidR="004656B2">
        <w:rPr>
          <w:rFonts w:eastAsia="Times New Roman" w:cs="Times New Roman"/>
          <w:color w:val="000000"/>
        </w:rPr>
        <w:t xml:space="preserve">note </w:t>
      </w:r>
      <w:r w:rsidR="004656B2">
        <w:rPr>
          <w:rFonts w:eastAsia="Times New Roman" w:cs="Times New Roman"/>
          <w:color w:val="000000"/>
        </w:rPr>
        <w:fldChar w:fldCharType="begin"/>
      </w:r>
      <w:r w:rsidR="004656B2">
        <w:rPr>
          <w:rFonts w:eastAsia="Times New Roman" w:cs="Times New Roman"/>
          <w:color w:val="000000"/>
        </w:rPr>
        <w:instrText xml:space="preserve"> NOTEREF _Ref142244518 \h </w:instrText>
      </w:r>
      <w:r w:rsidR="004656B2">
        <w:rPr>
          <w:rFonts w:eastAsia="Times New Roman" w:cs="Times New Roman"/>
          <w:color w:val="000000"/>
        </w:rPr>
      </w:r>
      <w:r w:rsidR="004656B2">
        <w:rPr>
          <w:rFonts w:eastAsia="Times New Roman" w:cs="Times New Roman"/>
          <w:color w:val="000000"/>
        </w:rPr>
        <w:fldChar w:fldCharType="separate"/>
      </w:r>
      <w:r w:rsidR="004656B2">
        <w:rPr>
          <w:rFonts w:eastAsia="Times New Roman" w:cs="Times New Roman"/>
          <w:color w:val="000000"/>
        </w:rPr>
        <w:t>95</w:t>
      </w:r>
      <w:r w:rsidR="004656B2">
        <w:rPr>
          <w:rFonts w:eastAsia="Times New Roman" w:cs="Times New Roman"/>
          <w:color w:val="000000"/>
        </w:rPr>
        <w:fldChar w:fldCharType="end"/>
      </w:r>
      <w:r w:rsidRPr="00BE4144">
        <w:rPr>
          <w:rFonts w:eastAsia="Times New Roman" w:cs="Times New Roman"/>
          <w:color w:val="000000"/>
        </w:rPr>
        <w:t xml:space="preserve">; </w:t>
      </w:r>
      <w:r w:rsidR="004656B2" w:rsidRPr="00403D85">
        <w:rPr>
          <w:rFonts w:eastAsia="Times New Roman" w:cs="Times New Roman"/>
          <w:color w:val="000000"/>
          <w:highlight w:val="yellow"/>
        </w:rPr>
        <w:t xml:space="preserve">Fennell </w:t>
      </w:r>
      <w:r w:rsidRPr="00403D85">
        <w:rPr>
          <w:rFonts w:eastAsia="Times New Roman" w:cs="Times New Roman"/>
          <w:color w:val="000000"/>
          <w:highlight w:val="yellow"/>
        </w:rPr>
        <w:t>2019</w:t>
      </w:r>
      <w:r w:rsidRPr="00BE4144">
        <w:rPr>
          <w:rFonts w:eastAsia="Times New Roman" w:cs="Times New Roman"/>
          <w:color w:val="000000"/>
        </w:rPr>
        <w:t>.</w:t>
      </w:r>
    </w:p>
  </w:footnote>
  <w:footnote w:id="121">
    <w:p w14:paraId="19D89463" w14:textId="2AFF2514" w:rsidR="00F23FBC" w:rsidRPr="00BE4144" w:rsidRDefault="00F23FB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4656B2">
        <w:rPr>
          <w:rFonts w:eastAsia="Times New Roman" w:cs="Times New Roman"/>
          <w:color w:val="000000"/>
        </w:rPr>
        <w:t xml:space="preserve">Marcus </w:t>
      </w:r>
      <w:r w:rsidRPr="00BE4144">
        <w:rPr>
          <w:rFonts w:eastAsia="Times New Roman" w:cs="Times New Roman"/>
          <w:color w:val="000000"/>
        </w:rPr>
        <w:t>Maher</w:t>
      </w:r>
      <w:r w:rsidR="004656B2">
        <w:rPr>
          <w:rFonts w:eastAsia="Times New Roman" w:cs="Times New Roman"/>
          <w:color w:val="000000"/>
        </w:rPr>
        <w:t xml:space="preserve">, </w:t>
      </w:r>
      <w:r w:rsidR="004656B2" w:rsidRPr="00403D85">
        <w:rPr>
          <w:rFonts w:eastAsia="Times New Roman" w:cs="Times New Roman"/>
          <w:i/>
          <w:iCs/>
          <w:color w:val="222222"/>
          <w:szCs w:val="24"/>
        </w:rPr>
        <w:t>An Analysis of Internet Standardization</w:t>
      </w:r>
      <w:r w:rsidR="004656B2">
        <w:rPr>
          <w:rFonts w:eastAsia="Times New Roman" w:cs="Times New Roman"/>
          <w:color w:val="222222"/>
          <w:szCs w:val="24"/>
        </w:rPr>
        <w:t xml:space="preserve">, 3 U. Va. J. L. &amp; Tech. 5 </w:t>
      </w:r>
      <w:r w:rsidR="004656B2">
        <w:rPr>
          <w:rFonts w:eastAsia="Times New Roman" w:cs="Times New Roman"/>
          <w:color w:val="000000"/>
        </w:rPr>
        <w:t>(</w:t>
      </w:r>
      <w:r w:rsidRPr="00BE4144">
        <w:rPr>
          <w:rFonts w:eastAsia="Times New Roman" w:cs="Times New Roman"/>
          <w:color w:val="000000"/>
        </w:rPr>
        <w:t>1998)</w:t>
      </w:r>
      <w:r w:rsidR="004656B2">
        <w:rPr>
          <w:rFonts w:eastAsia="Times New Roman" w:cs="Times New Roman"/>
          <w:color w:val="000000"/>
        </w:rPr>
        <w:t>.</w:t>
      </w:r>
    </w:p>
  </w:footnote>
  <w:footnote w:id="122">
    <w:p w14:paraId="3EAD6920" w14:textId="193E49CF" w:rsidR="007C1EF2" w:rsidRPr="00BE4144" w:rsidRDefault="007C1EF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4656B2" w:rsidRPr="00403D85">
        <w:rPr>
          <w:rFonts w:eastAsia="Times New Roman" w:cs="Times New Roman"/>
          <w:smallCaps/>
          <w:color w:val="000000"/>
        </w:rPr>
        <w:t xml:space="preserve">Dept. of Energy, </w:t>
      </w:r>
      <w:r w:rsidR="004656B2" w:rsidRPr="00403D85">
        <w:rPr>
          <w:rFonts w:eastAsia="Times New Roman" w:cs="Times New Roman"/>
          <w:smallCaps/>
          <w:color w:val="222222"/>
          <w:szCs w:val="24"/>
        </w:rPr>
        <w:t>Safe Use of Hydrogen</w:t>
      </w:r>
      <w:r w:rsidR="004656B2">
        <w:rPr>
          <w:rFonts w:eastAsia="Times New Roman" w:cs="Times New Roman"/>
          <w:color w:val="222222"/>
          <w:szCs w:val="24"/>
        </w:rPr>
        <w:t xml:space="preserve"> (2022), </w:t>
      </w:r>
      <w:hyperlink r:id="rId21" w:history="1">
        <w:r w:rsidR="004656B2" w:rsidRPr="007571BA">
          <w:rPr>
            <w:rStyle w:val="Hyperlink"/>
            <w:rFonts w:eastAsia="Times New Roman" w:cs="Times New Roman"/>
            <w:szCs w:val="24"/>
          </w:rPr>
          <w:t>https://www.energy.gov/eere/fuelcells/safe-use-hydrogen</w:t>
        </w:r>
      </w:hyperlink>
      <w:r w:rsidR="004656B2" w:rsidRPr="004656B2">
        <w:rPr>
          <w:rFonts w:eastAsia="Times New Roman" w:cs="Times New Roman"/>
          <w:color w:val="222222"/>
          <w:szCs w:val="24"/>
        </w:rPr>
        <w:t>.</w:t>
      </w:r>
      <w:r w:rsidR="004656B2">
        <w:rPr>
          <w:rFonts w:eastAsia="Times New Roman" w:cs="Times New Roman"/>
          <w:color w:val="222222"/>
          <w:szCs w:val="24"/>
        </w:rPr>
        <w:t xml:space="preserve"> </w:t>
      </w:r>
    </w:p>
  </w:footnote>
  <w:footnote w:id="123">
    <w:p w14:paraId="027EE328" w14:textId="3C7E0383" w:rsidR="00E83A7A" w:rsidRPr="00BE4144" w:rsidRDefault="00E83A7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Gillette &amp; Kulpa</w:t>
      </w:r>
      <w:r w:rsidR="00184AA7">
        <w:rPr>
          <w:rFonts w:eastAsia="Times New Roman" w:cs="Times New Roman"/>
          <w:color w:val="000000"/>
        </w:rPr>
        <w:t>,</w:t>
      </w:r>
      <w:r w:rsidRPr="00BE4144">
        <w:rPr>
          <w:rFonts w:eastAsia="Times New Roman" w:cs="Times New Roman"/>
          <w:color w:val="000000"/>
        </w:rPr>
        <w:t xml:space="preserve"> </w:t>
      </w:r>
      <w:r w:rsidR="00184AA7">
        <w:rPr>
          <w:rFonts w:eastAsia="Times New Roman" w:cs="Times New Roman"/>
          <w:i/>
          <w:iCs/>
          <w:color w:val="000000"/>
        </w:rPr>
        <w:t xml:space="preserve">supra </w:t>
      </w:r>
      <w:r w:rsidR="00184AA7">
        <w:rPr>
          <w:rFonts w:eastAsia="Times New Roman" w:cs="Times New Roman"/>
          <w:color w:val="000000"/>
        </w:rPr>
        <w:t xml:space="preserve">note </w:t>
      </w:r>
      <w:r w:rsidR="00184AA7">
        <w:rPr>
          <w:rFonts w:eastAsia="Times New Roman" w:cs="Times New Roman"/>
          <w:color w:val="000000"/>
        </w:rPr>
        <w:fldChar w:fldCharType="begin"/>
      </w:r>
      <w:r w:rsidR="00184AA7">
        <w:rPr>
          <w:rFonts w:eastAsia="Times New Roman" w:cs="Times New Roman"/>
          <w:color w:val="000000"/>
        </w:rPr>
        <w:instrText xml:space="preserve"> NOTEREF _Ref142244991 \h </w:instrText>
      </w:r>
      <w:r w:rsidR="00184AA7">
        <w:rPr>
          <w:rFonts w:eastAsia="Times New Roman" w:cs="Times New Roman"/>
          <w:color w:val="000000"/>
        </w:rPr>
      </w:r>
      <w:r w:rsidR="00184AA7">
        <w:rPr>
          <w:rFonts w:eastAsia="Times New Roman" w:cs="Times New Roman"/>
          <w:color w:val="000000"/>
        </w:rPr>
        <w:fldChar w:fldCharType="separate"/>
      </w:r>
      <w:r w:rsidR="00184AA7">
        <w:rPr>
          <w:rFonts w:eastAsia="Times New Roman" w:cs="Times New Roman"/>
          <w:color w:val="000000"/>
        </w:rPr>
        <w:t>63</w:t>
      </w:r>
      <w:r w:rsidR="00184AA7">
        <w:rPr>
          <w:rFonts w:eastAsia="Times New Roman" w:cs="Times New Roman"/>
          <w:color w:val="000000"/>
        </w:rPr>
        <w:fldChar w:fldCharType="end"/>
      </w:r>
      <w:r w:rsidR="00184AA7">
        <w:rPr>
          <w:rFonts w:eastAsia="Times New Roman" w:cs="Times New Roman"/>
          <w:color w:val="000000"/>
        </w:rPr>
        <w:t>.</w:t>
      </w:r>
    </w:p>
  </w:footnote>
  <w:footnote w:id="124">
    <w:p w14:paraId="665794B2" w14:textId="49598551" w:rsidR="00E83A7A" w:rsidRPr="00BE4144" w:rsidRDefault="00E83A7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eastAsia="Times New Roman" w:cs="Times New Roman"/>
          <w:smallCaps/>
          <w:color w:val="000000"/>
        </w:rPr>
        <w:t>New Jersey Department of Health</w:t>
      </w:r>
      <w:r w:rsidR="00933FCF" w:rsidRPr="00403D85">
        <w:rPr>
          <w:rFonts w:eastAsia="Times New Roman" w:cs="Times New Roman"/>
          <w:smallCaps/>
          <w:color w:val="000000"/>
        </w:rPr>
        <w:t xml:space="preserve">, </w:t>
      </w:r>
      <w:r w:rsidR="00933FCF" w:rsidRPr="00403D85">
        <w:rPr>
          <w:rFonts w:eastAsia="Times New Roman" w:cs="Times New Roman"/>
          <w:smallCaps/>
          <w:color w:val="222222"/>
          <w:szCs w:val="24"/>
          <w:shd w:val="clear" w:color="auto" w:fill="FFFFFF"/>
        </w:rPr>
        <w:t>Right to Know Hazardous Substance Fact Sheet</w:t>
      </w:r>
      <w:r w:rsidRPr="00BE4144">
        <w:rPr>
          <w:rFonts w:eastAsia="Times New Roman" w:cs="Times New Roman"/>
          <w:color w:val="000000"/>
        </w:rPr>
        <w:t xml:space="preserve"> </w:t>
      </w:r>
      <w:r w:rsidR="00933FCF">
        <w:rPr>
          <w:rFonts w:eastAsia="Times New Roman" w:cs="Times New Roman"/>
          <w:color w:val="000000"/>
        </w:rPr>
        <w:t>(</w:t>
      </w:r>
      <w:r w:rsidRPr="00BE4144">
        <w:rPr>
          <w:rFonts w:eastAsia="Times New Roman" w:cs="Times New Roman"/>
          <w:color w:val="000000"/>
        </w:rPr>
        <w:t>2016).</w:t>
      </w:r>
    </w:p>
  </w:footnote>
  <w:footnote w:id="125">
    <w:p w14:paraId="720915DA" w14:textId="56D23443"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 xml:space="preserve"> </w:t>
      </w:r>
      <w:r w:rsidR="00933FCF">
        <w:rPr>
          <w:rFonts w:eastAsia="Times New Roman" w:cs="Times New Roman"/>
          <w:color w:val="000000"/>
        </w:rPr>
        <w:t xml:space="preserve">Casey Cavanaugh Grant, </w:t>
      </w:r>
      <w:r w:rsidRPr="00BE4144">
        <w:rPr>
          <w:rFonts w:eastAsia="Times New Roman" w:cs="Times New Roman"/>
          <w:color w:val="000000"/>
        </w:rPr>
        <w:t>NFPA</w:t>
      </w:r>
      <w:r w:rsidR="00933FCF">
        <w:rPr>
          <w:rFonts w:eastAsia="Times New Roman" w:cs="Times New Roman"/>
          <w:color w:val="000000"/>
        </w:rPr>
        <w:t xml:space="preserve">, </w:t>
      </w:r>
      <w:r w:rsidR="00933FCF">
        <w:rPr>
          <w:rFonts w:eastAsia="Times New Roman" w:cs="Times New Roman"/>
          <w:i/>
          <w:iCs/>
          <w:color w:val="000000"/>
        </w:rPr>
        <w:t>History of the NFPA</w:t>
      </w:r>
      <w:r w:rsidRPr="00BE4144">
        <w:rPr>
          <w:rFonts w:eastAsia="Times New Roman" w:cs="Times New Roman"/>
          <w:color w:val="000000"/>
        </w:rPr>
        <w:t xml:space="preserve"> </w:t>
      </w:r>
      <w:r w:rsidR="00933FCF">
        <w:rPr>
          <w:rFonts w:eastAsia="Times New Roman" w:cs="Times New Roman"/>
          <w:color w:val="000000"/>
        </w:rPr>
        <w:t>(</w:t>
      </w:r>
      <w:r w:rsidRPr="00BE4144">
        <w:rPr>
          <w:rFonts w:eastAsia="Times New Roman" w:cs="Times New Roman"/>
          <w:color w:val="000000"/>
        </w:rPr>
        <w:t>1996</w:t>
      </w:r>
      <w:r w:rsidR="00933FCF">
        <w:rPr>
          <w:rFonts w:eastAsia="Times New Roman" w:cs="Times New Roman"/>
          <w:color w:val="000000"/>
        </w:rPr>
        <w:t xml:space="preserve">), </w:t>
      </w:r>
      <w:hyperlink r:id="rId22" w:history="1">
        <w:r w:rsidR="00933FCF" w:rsidRPr="007571BA">
          <w:rPr>
            <w:rStyle w:val="Hyperlink"/>
            <w:rFonts w:eastAsia="Times New Roman" w:cs="Times New Roman"/>
          </w:rPr>
          <w:t>https://www.nfpa.org/About-NFPA/NFPA-overview/History-of-NFPA</w:t>
        </w:r>
      </w:hyperlink>
      <w:r w:rsidR="00933FCF">
        <w:rPr>
          <w:rFonts w:eastAsia="Times New Roman" w:cs="Times New Roman"/>
          <w:color w:val="000000"/>
        </w:rPr>
        <w:t xml:space="preserve">. </w:t>
      </w:r>
      <w:r w:rsidRPr="00BE4144">
        <w:rPr>
          <w:rFonts w:eastAsia="Times New Roman" w:cs="Times New Roman"/>
          <w:color w:val="000000"/>
        </w:rPr>
        <w:t> </w:t>
      </w:r>
    </w:p>
  </w:footnote>
  <w:footnote w:id="126">
    <w:p w14:paraId="674AF6E9" w14:textId="592BE2ED"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933FCF">
        <w:rPr>
          <w:rFonts w:eastAsia="Times New Roman" w:cs="Times New Roman"/>
          <w:i/>
          <w:iCs/>
          <w:color w:val="000000"/>
        </w:rPr>
        <w:t>Id.</w:t>
      </w:r>
    </w:p>
  </w:footnote>
  <w:footnote w:id="127">
    <w:p w14:paraId="4FD01919" w14:textId="02ECCBFF"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28">
    <w:p w14:paraId="4E0CC167" w14:textId="3BCAE398"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29">
    <w:p w14:paraId="2A64BE41" w14:textId="62376882"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30">
    <w:p w14:paraId="40DBD6E0" w14:textId="37CB52EA"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31">
    <w:p w14:paraId="7C7DB679" w14:textId="45DB584A"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32">
    <w:p w14:paraId="73611B17" w14:textId="03AD9038" w:rsidR="008F0749" w:rsidRPr="00CF7342"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CF7342">
        <w:rPr>
          <w:rFonts w:eastAsia="Times New Roman" w:cs="Times New Roman"/>
          <w:i/>
          <w:iCs/>
          <w:color w:val="000000"/>
        </w:rPr>
        <w:t xml:space="preserve">supra </w:t>
      </w:r>
      <w:r w:rsidR="00CF7342">
        <w:rPr>
          <w:rFonts w:eastAsia="Times New Roman" w:cs="Times New Roman"/>
          <w:color w:val="000000"/>
        </w:rPr>
        <w:t xml:space="preserve">note </w:t>
      </w:r>
      <w:r w:rsidR="00CF7342">
        <w:rPr>
          <w:rFonts w:eastAsia="Times New Roman" w:cs="Times New Roman"/>
          <w:color w:val="000000"/>
        </w:rPr>
        <w:fldChar w:fldCharType="begin"/>
      </w:r>
      <w:r w:rsidR="00CF7342">
        <w:rPr>
          <w:rFonts w:eastAsia="Times New Roman" w:cs="Times New Roman"/>
          <w:color w:val="000000"/>
        </w:rPr>
        <w:instrText xml:space="preserve"> NOTEREF _Ref142249467 \h </w:instrText>
      </w:r>
      <w:r w:rsidR="00CF7342">
        <w:rPr>
          <w:rFonts w:eastAsia="Times New Roman" w:cs="Times New Roman"/>
          <w:color w:val="000000"/>
        </w:rPr>
      </w:r>
      <w:r w:rsidR="00CF7342">
        <w:rPr>
          <w:rFonts w:eastAsia="Times New Roman" w:cs="Times New Roman"/>
          <w:color w:val="000000"/>
        </w:rPr>
        <w:fldChar w:fldCharType="separate"/>
      </w:r>
      <w:r w:rsidR="00CF7342">
        <w:rPr>
          <w:rFonts w:eastAsia="Times New Roman" w:cs="Times New Roman"/>
          <w:color w:val="000000"/>
        </w:rPr>
        <w:t>115</w:t>
      </w:r>
      <w:r w:rsidR="00CF7342">
        <w:rPr>
          <w:rFonts w:eastAsia="Times New Roman" w:cs="Times New Roman"/>
          <w:color w:val="000000"/>
        </w:rPr>
        <w:fldChar w:fldCharType="end"/>
      </w:r>
      <w:r w:rsidR="00CF7342">
        <w:rPr>
          <w:rFonts w:eastAsia="Times New Roman" w:cs="Times New Roman"/>
          <w:color w:val="000000"/>
        </w:rPr>
        <w:t>.</w:t>
      </w:r>
    </w:p>
  </w:footnote>
  <w:footnote w:id="133">
    <w:p w14:paraId="053928D9" w14:textId="348259F5"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CF7342" w:rsidRPr="00403D85">
        <w:rPr>
          <w:rFonts w:cs="Times New Roman"/>
          <w:smallCaps/>
        </w:rPr>
        <w:t xml:space="preserve">Off. </w:t>
      </w:r>
      <w:r w:rsidR="00CF7342">
        <w:rPr>
          <w:rFonts w:cs="Times New Roman"/>
          <w:smallCaps/>
        </w:rPr>
        <w:t>o</w:t>
      </w:r>
      <w:r w:rsidR="00CF7342" w:rsidRPr="00403D85">
        <w:rPr>
          <w:rFonts w:cs="Times New Roman"/>
          <w:smallCaps/>
        </w:rPr>
        <w:t xml:space="preserve">f Energy Efficiency &amp; Renewable Energy, </w:t>
      </w:r>
      <w:proofErr w:type="spellStart"/>
      <w:r w:rsidR="00CF7342" w:rsidRPr="00403D85">
        <w:rPr>
          <w:rFonts w:eastAsia="Times New Roman" w:cs="Times New Roman"/>
          <w:smallCaps/>
          <w:color w:val="000000"/>
        </w:rPr>
        <w:t>Dep’t</w:t>
      </w:r>
      <w:proofErr w:type="spellEnd"/>
      <w:r w:rsidR="00CF7342" w:rsidRPr="00403D85">
        <w:rPr>
          <w:rFonts w:eastAsia="Times New Roman" w:cs="Times New Roman"/>
          <w:smallCaps/>
          <w:color w:val="000000"/>
        </w:rPr>
        <w:t xml:space="preserve"> of Energy, </w:t>
      </w:r>
      <w:proofErr w:type="spellStart"/>
      <w:r w:rsidR="00CF7342" w:rsidRPr="00403D85">
        <w:rPr>
          <w:rFonts w:eastAsia="Times New Roman" w:cs="Times New Roman"/>
          <w:smallCaps/>
          <w:color w:val="000000"/>
        </w:rPr>
        <w:t>Hydrogren</w:t>
      </w:r>
      <w:proofErr w:type="spellEnd"/>
      <w:r w:rsidR="00CF7342" w:rsidRPr="00403D85">
        <w:rPr>
          <w:rFonts w:eastAsia="Times New Roman" w:cs="Times New Roman"/>
          <w:smallCaps/>
          <w:color w:val="000000"/>
        </w:rPr>
        <w:t xml:space="preserve"> Safety.</w:t>
      </w:r>
    </w:p>
  </w:footnote>
  <w:footnote w:id="134">
    <w:p w14:paraId="45108F9B" w14:textId="4F29F0BA"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eastAsia="Times New Roman" w:cs="Times New Roman"/>
          <w:smallCaps/>
          <w:color w:val="000000"/>
        </w:rPr>
        <w:t>Energy Info</w:t>
      </w:r>
      <w:r w:rsidR="00CF7342">
        <w:rPr>
          <w:rFonts w:eastAsia="Times New Roman" w:cs="Times New Roman"/>
          <w:smallCaps/>
          <w:color w:val="000000"/>
        </w:rPr>
        <w:t>.</w:t>
      </w:r>
      <w:r w:rsidRPr="00403D85">
        <w:rPr>
          <w:rFonts w:eastAsia="Times New Roman" w:cs="Times New Roman"/>
          <w:smallCaps/>
          <w:color w:val="000000"/>
        </w:rPr>
        <w:t xml:space="preserve"> Admin</w:t>
      </w:r>
      <w:r w:rsidR="00CF7342" w:rsidRPr="00403D85">
        <w:rPr>
          <w:rFonts w:eastAsia="Times New Roman" w:cs="Times New Roman"/>
          <w:smallCaps/>
          <w:color w:val="000000"/>
        </w:rPr>
        <w:t xml:space="preserve">, </w:t>
      </w:r>
      <w:proofErr w:type="spellStart"/>
      <w:r w:rsidR="00CF7342" w:rsidRPr="00403D85">
        <w:rPr>
          <w:rFonts w:eastAsia="Times New Roman" w:cs="Times New Roman"/>
          <w:smallCaps/>
          <w:color w:val="000000"/>
        </w:rPr>
        <w:t>Dep’t</w:t>
      </w:r>
      <w:proofErr w:type="spellEnd"/>
      <w:r w:rsidR="00CF7342" w:rsidRPr="00403D85">
        <w:rPr>
          <w:rFonts w:eastAsia="Times New Roman" w:cs="Times New Roman"/>
          <w:smallCaps/>
          <w:color w:val="000000"/>
        </w:rPr>
        <w:t xml:space="preserve"> of Energy, </w:t>
      </w:r>
      <w:r w:rsidR="00CF7342" w:rsidRPr="00403D85">
        <w:rPr>
          <w:rFonts w:eastAsia="Times New Roman" w:cs="Times New Roman"/>
          <w:smallCaps/>
          <w:color w:val="222222"/>
          <w:szCs w:val="24"/>
        </w:rPr>
        <w:t>Energy Explained: Use of Hydrogen</w:t>
      </w:r>
      <w:r w:rsidR="00CF7342">
        <w:rPr>
          <w:rFonts w:eastAsia="Times New Roman" w:cs="Times New Roman"/>
          <w:color w:val="222222"/>
          <w:szCs w:val="24"/>
        </w:rPr>
        <w:t xml:space="preserve"> (</w:t>
      </w:r>
      <w:r w:rsidRPr="00BE4144">
        <w:rPr>
          <w:rFonts w:eastAsia="Times New Roman" w:cs="Times New Roman"/>
          <w:color w:val="000000"/>
        </w:rPr>
        <w:t>2022)</w:t>
      </w:r>
      <w:r w:rsidR="00CF7342">
        <w:rPr>
          <w:rFonts w:eastAsia="Times New Roman" w:cs="Times New Roman"/>
          <w:color w:val="000000"/>
        </w:rPr>
        <w:t xml:space="preserve">, </w:t>
      </w:r>
      <w:hyperlink r:id="rId23" w:history="1">
        <w:r w:rsidR="00CF7342" w:rsidRPr="007571BA">
          <w:rPr>
            <w:rStyle w:val="Hyperlink"/>
            <w:rFonts w:eastAsia="Times New Roman" w:cs="Times New Roman"/>
            <w:szCs w:val="24"/>
          </w:rPr>
          <w:t>https://www.eia.gov/energyexplained/hydrogen/use-of-hydrogen.php</w:t>
        </w:r>
      </w:hyperlink>
      <w:r w:rsidR="00CF7342" w:rsidRPr="00EC79E0">
        <w:rPr>
          <w:rFonts w:eastAsia="Times New Roman" w:cs="Times New Roman"/>
          <w:color w:val="222222"/>
          <w:szCs w:val="24"/>
        </w:rPr>
        <w:t>.</w:t>
      </w:r>
      <w:r w:rsidR="00CF7342">
        <w:rPr>
          <w:rFonts w:eastAsia="Times New Roman" w:cs="Times New Roman"/>
          <w:color w:val="222222"/>
          <w:szCs w:val="24"/>
        </w:rPr>
        <w:t xml:space="preserve"> </w:t>
      </w:r>
    </w:p>
  </w:footnote>
  <w:footnote w:id="135">
    <w:p w14:paraId="69017775" w14:textId="1704EF2E" w:rsidR="008F0749" w:rsidRPr="00F5620E"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5620E">
        <w:rPr>
          <w:rFonts w:eastAsia="Times New Roman" w:cs="Times New Roman"/>
          <w:color w:val="000000"/>
        </w:rPr>
        <w:t xml:space="preserve">Pacific Northwest National Laboratory, </w:t>
      </w:r>
      <w:proofErr w:type="spellStart"/>
      <w:r w:rsidR="00F5620E">
        <w:rPr>
          <w:rFonts w:eastAsia="Times New Roman" w:cs="Times New Roman"/>
          <w:color w:val="000000"/>
        </w:rPr>
        <w:t>Dep’t</w:t>
      </w:r>
      <w:proofErr w:type="spellEnd"/>
      <w:r w:rsidR="00F5620E">
        <w:rPr>
          <w:rFonts w:eastAsia="Times New Roman" w:cs="Times New Roman"/>
          <w:color w:val="000000"/>
        </w:rPr>
        <w:t xml:space="preserve"> of Energy, </w:t>
      </w:r>
      <w:r w:rsidR="00F5620E" w:rsidRPr="00403D85">
        <w:rPr>
          <w:rFonts w:eastAsia="Times New Roman" w:cs="Times New Roman"/>
          <w:i/>
          <w:iCs/>
          <w:color w:val="000000"/>
        </w:rPr>
        <w:t>AIAA G-095 Guide to Safety of Hydrogen and Hydrogen Systems</w:t>
      </w:r>
      <w:r w:rsidR="00F5620E">
        <w:rPr>
          <w:rFonts w:eastAsia="Times New Roman" w:cs="Times New Roman"/>
          <w:color w:val="000000"/>
        </w:rPr>
        <w:t xml:space="preserve">, </w:t>
      </w:r>
      <w:r w:rsidR="00F5620E" w:rsidRPr="00403D85">
        <w:rPr>
          <w:rFonts w:eastAsia="Times New Roman" w:cs="Times New Roman"/>
          <w:smallCaps/>
          <w:color w:val="000000"/>
        </w:rPr>
        <w:t>Hydrogen Tools</w:t>
      </w:r>
      <w:r w:rsidR="00F5620E">
        <w:rPr>
          <w:rFonts w:eastAsia="Times New Roman" w:cs="Times New Roman"/>
          <w:smallCaps/>
          <w:color w:val="000000"/>
        </w:rPr>
        <w:t xml:space="preserve">, </w:t>
      </w:r>
      <w:hyperlink r:id="rId24" w:history="1">
        <w:r w:rsidR="00F5620E" w:rsidRPr="00403D85">
          <w:rPr>
            <w:rStyle w:val="Hyperlink"/>
            <w:rFonts w:eastAsia="Times New Roman" w:cs="Times New Roman"/>
          </w:rPr>
          <w:t>https://h2tools.org/fuel-cell-codes-and-standards/aiaa-g-095-guide-safety-hydrogen-and-hydrogen-systems</w:t>
        </w:r>
      </w:hyperlink>
      <w:r w:rsidR="00F5620E">
        <w:rPr>
          <w:rFonts w:eastAsia="Times New Roman" w:cs="Times New Roman"/>
          <w:color w:val="000000"/>
        </w:rPr>
        <w:t>.</w:t>
      </w:r>
      <w:r w:rsidR="00F5620E">
        <w:rPr>
          <w:rFonts w:eastAsia="Times New Roman" w:cs="Times New Roman"/>
          <w:smallCaps/>
          <w:color w:val="000000"/>
        </w:rPr>
        <w:t xml:space="preserve"> </w:t>
      </w:r>
    </w:p>
  </w:footnote>
  <w:footnote w:id="136">
    <w:p w14:paraId="75E92C14" w14:textId="335888DC"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5620E">
        <w:rPr>
          <w:rFonts w:eastAsia="Times New Roman" w:cs="Times New Roman"/>
          <w:color w:val="000000"/>
        </w:rPr>
        <w:t xml:space="preserve">Joseph Room, </w:t>
      </w:r>
      <w:r w:rsidR="00F5620E" w:rsidRPr="00403D85">
        <w:rPr>
          <w:rFonts w:eastAsia="Times New Roman" w:cs="Times New Roman"/>
          <w:i/>
          <w:iCs/>
          <w:color w:val="000000"/>
        </w:rPr>
        <w:t>California’s Hydrogen Highway Reconsidered</w:t>
      </w:r>
      <w:r w:rsidR="00F5620E">
        <w:rPr>
          <w:rFonts w:eastAsia="Times New Roman" w:cs="Times New Roman"/>
          <w:color w:val="000000"/>
        </w:rPr>
        <w:t>, 36 Golden Gate U. L. Rev. 393</w:t>
      </w:r>
      <w:r w:rsidRPr="00BE4144">
        <w:rPr>
          <w:rFonts w:eastAsia="Times New Roman" w:cs="Times New Roman"/>
          <w:color w:val="000000"/>
        </w:rPr>
        <w:t xml:space="preserve"> </w:t>
      </w:r>
      <w:r w:rsidR="00F5620E">
        <w:rPr>
          <w:rFonts w:eastAsia="Times New Roman" w:cs="Times New Roman"/>
          <w:color w:val="000000"/>
        </w:rPr>
        <w:t>(</w:t>
      </w:r>
      <w:r w:rsidRPr="00BE4144">
        <w:rPr>
          <w:rFonts w:eastAsia="Times New Roman" w:cs="Times New Roman"/>
          <w:color w:val="000000"/>
        </w:rPr>
        <w:t>2006)</w:t>
      </w:r>
      <w:r w:rsidR="00F5620E">
        <w:rPr>
          <w:rFonts w:eastAsia="Times New Roman" w:cs="Times New Roman"/>
          <w:color w:val="000000"/>
        </w:rPr>
        <w:t>.</w:t>
      </w:r>
    </w:p>
  </w:footnote>
  <w:footnote w:id="137">
    <w:p w14:paraId="2CD67EB0" w14:textId="44F83A99"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38">
    <w:p w14:paraId="76C4DF9B" w14:textId="16DDD581"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cs="Times New Roman"/>
          <w:highlight w:val="yellow"/>
        </w:rPr>
        <w:t>Halper 2021.</w:t>
      </w:r>
      <w:r w:rsidRPr="00BE4144">
        <w:rPr>
          <w:rFonts w:cs="Times New Roman"/>
        </w:rPr>
        <w:t xml:space="preserve"> </w:t>
      </w:r>
    </w:p>
  </w:footnote>
  <w:footnote w:id="139">
    <w:p w14:paraId="328264EB" w14:textId="1B3A86A2"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40">
    <w:p w14:paraId="2D1DB4A3" w14:textId="66872EE5"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eastAsia="Times New Roman" w:cs="Times New Roman"/>
          <w:smallCaps/>
          <w:color w:val="000000"/>
        </w:rPr>
        <w:t>California State Fire Marshall</w:t>
      </w:r>
      <w:r w:rsidR="00F5620E" w:rsidRPr="00403D85">
        <w:rPr>
          <w:rFonts w:eastAsia="Times New Roman" w:cs="Times New Roman"/>
          <w:smallCaps/>
          <w:color w:val="000000"/>
        </w:rPr>
        <w:t xml:space="preserve">, </w:t>
      </w:r>
      <w:r w:rsidR="00F5620E" w:rsidRPr="00403D85">
        <w:rPr>
          <w:rFonts w:eastAsia="Times New Roman" w:cs="Times New Roman"/>
          <w:smallCaps/>
          <w:color w:val="222222"/>
          <w:szCs w:val="24"/>
          <w:shd w:val="clear" w:color="auto" w:fill="FFFFFF"/>
        </w:rPr>
        <w:t>Information Bulletin 14-010. Adoption of NFPA 2 Hydrogen Technologies for the Supplement to the 2013 California Building and Fire Code</w:t>
      </w:r>
      <w:r w:rsidRPr="00BE4144">
        <w:rPr>
          <w:rFonts w:eastAsia="Times New Roman" w:cs="Times New Roman"/>
          <w:color w:val="000000"/>
        </w:rPr>
        <w:t xml:space="preserve"> </w:t>
      </w:r>
      <w:r w:rsidR="00F5620E">
        <w:rPr>
          <w:rFonts w:eastAsia="Times New Roman" w:cs="Times New Roman"/>
          <w:color w:val="000000"/>
        </w:rPr>
        <w:t>(</w:t>
      </w:r>
      <w:r w:rsidRPr="00BE4144">
        <w:rPr>
          <w:rFonts w:eastAsia="Times New Roman" w:cs="Times New Roman"/>
          <w:color w:val="000000"/>
        </w:rPr>
        <w:t>2014)</w:t>
      </w:r>
      <w:r w:rsidR="00F5620E">
        <w:rPr>
          <w:rFonts w:eastAsia="Times New Roman" w:cs="Times New Roman"/>
          <w:color w:val="000000"/>
        </w:rPr>
        <w:t xml:space="preserve">, </w:t>
      </w:r>
      <w:hyperlink r:id="rId25" w:history="1">
        <w:r w:rsidR="00F5620E" w:rsidRPr="007571BA">
          <w:rPr>
            <w:rStyle w:val="Hyperlink"/>
            <w:rFonts w:eastAsia="Times New Roman" w:cs="Times New Roman"/>
          </w:rPr>
          <w:t>https://osfm.fire.ca.gov/media/8419/ib_14010codesupplementnfpa2.pdf</w:t>
        </w:r>
      </w:hyperlink>
      <w:r w:rsidR="00F5620E" w:rsidRPr="00F5620E">
        <w:rPr>
          <w:rFonts w:eastAsia="Times New Roman" w:cs="Times New Roman"/>
          <w:color w:val="000000"/>
        </w:rPr>
        <w:t>.</w:t>
      </w:r>
      <w:r w:rsidR="00F5620E">
        <w:rPr>
          <w:rFonts w:eastAsia="Times New Roman" w:cs="Times New Roman"/>
          <w:color w:val="000000"/>
        </w:rPr>
        <w:t xml:space="preserve"> </w:t>
      </w:r>
    </w:p>
  </w:footnote>
  <w:footnote w:id="141">
    <w:p w14:paraId="0B33A383" w14:textId="1A626F1B"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Halper, </w:t>
      </w:r>
      <w:r w:rsidRPr="00BE4144">
        <w:rPr>
          <w:rFonts w:cs="Times New Roman"/>
          <w:i/>
          <w:iCs/>
        </w:rPr>
        <w:t xml:space="preserve">supra </w:t>
      </w:r>
      <w:r w:rsidRPr="00BE4144">
        <w:rPr>
          <w:rFonts w:cs="Times New Roman"/>
        </w:rPr>
        <w:t xml:space="preserve">note xx. </w:t>
      </w:r>
    </w:p>
  </w:footnote>
  <w:footnote w:id="142">
    <w:p w14:paraId="52CBEBAE" w14:textId="1D40E3D6" w:rsidR="008F0749" w:rsidRPr="00BE4144" w:rsidRDefault="008F0749" w:rsidP="00F5620E">
      <w:pPr>
        <w:pStyle w:val="FootnoteText"/>
        <w:jc w:val="both"/>
        <w:rPr>
          <w:rFonts w:cs="Times New Roman"/>
        </w:rPr>
      </w:pPr>
      <w:r w:rsidRPr="00BE4144">
        <w:rPr>
          <w:rStyle w:val="FootnoteReference"/>
          <w:rFonts w:cs="Times New Roman"/>
        </w:rPr>
        <w:footnoteRef/>
      </w:r>
      <w:r w:rsidRPr="00BE4144">
        <w:rPr>
          <w:rFonts w:cs="Times New Roman"/>
        </w:rPr>
        <w:t xml:space="preserve"> </w:t>
      </w:r>
      <w:proofErr w:type="spellStart"/>
      <w:r w:rsidRPr="00403D85">
        <w:rPr>
          <w:rFonts w:cs="Times New Roman"/>
          <w:smallCaps/>
        </w:rPr>
        <w:t>N</w:t>
      </w:r>
      <w:r w:rsidR="00F5620E" w:rsidRPr="00403D85">
        <w:rPr>
          <w:rFonts w:cs="Times New Roman"/>
          <w:smallCaps/>
        </w:rPr>
        <w:t>at’l</w:t>
      </w:r>
      <w:proofErr w:type="spellEnd"/>
      <w:r w:rsidR="00F5620E" w:rsidRPr="00403D85">
        <w:rPr>
          <w:rFonts w:cs="Times New Roman"/>
          <w:smallCaps/>
        </w:rPr>
        <w:t xml:space="preserve"> Renewable Energy </w:t>
      </w:r>
      <w:proofErr w:type="spellStart"/>
      <w:r w:rsidR="00F5620E" w:rsidRPr="00403D85">
        <w:rPr>
          <w:rFonts w:cs="Times New Roman"/>
          <w:smallCaps/>
        </w:rPr>
        <w:t>Lab’y</w:t>
      </w:r>
      <w:proofErr w:type="spellEnd"/>
      <w:r w:rsidR="00F5620E" w:rsidRPr="00403D85">
        <w:rPr>
          <w:rFonts w:cs="Times New Roman"/>
          <w:smallCaps/>
        </w:rPr>
        <w:t xml:space="preserve">, </w:t>
      </w:r>
      <w:proofErr w:type="spellStart"/>
      <w:r w:rsidR="00F5620E" w:rsidRPr="00403D85">
        <w:rPr>
          <w:rFonts w:cs="Times New Roman"/>
          <w:smallCaps/>
        </w:rPr>
        <w:t>Dep’t</w:t>
      </w:r>
      <w:proofErr w:type="spellEnd"/>
      <w:r w:rsidR="00F5620E" w:rsidRPr="00403D85">
        <w:rPr>
          <w:rFonts w:cs="Times New Roman"/>
          <w:smallCaps/>
        </w:rPr>
        <w:t xml:space="preserve"> of Energy, </w:t>
      </w:r>
      <w:r w:rsidR="00F5620E" w:rsidRPr="00403D85">
        <w:rPr>
          <w:rFonts w:eastAsia="Times New Roman" w:cs="Times New Roman"/>
          <w:smallCaps/>
          <w:color w:val="222222"/>
          <w:szCs w:val="24"/>
          <w:shd w:val="clear" w:color="auto" w:fill="FFFFFF"/>
        </w:rPr>
        <w:t>Permitting Hydrogen Fueling Stations</w:t>
      </w:r>
      <w:r w:rsidRPr="00BE4144">
        <w:rPr>
          <w:rFonts w:cs="Times New Roman"/>
        </w:rPr>
        <w:t xml:space="preserve"> </w:t>
      </w:r>
      <w:r w:rsidR="00F5620E">
        <w:rPr>
          <w:rFonts w:cs="Times New Roman"/>
        </w:rPr>
        <w:t>(</w:t>
      </w:r>
      <w:r w:rsidRPr="00BE4144">
        <w:rPr>
          <w:rFonts w:cs="Times New Roman"/>
        </w:rPr>
        <w:t>2016</w:t>
      </w:r>
      <w:r w:rsidR="00F5620E">
        <w:rPr>
          <w:rFonts w:cs="Times New Roman"/>
        </w:rPr>
        <w:t xml:space="preserve">), </w:t>
      </w:r>
      <w:r w:rsidR="00F5620E" w:rsidRPr="00F5620E">
        <w:rPr>
          <w:rFonts w:cs="Times New Roman"/>
        </w:rPr>
        <w:t>https://www.youtube.com/playlist?list=PLmIn8Hncs7bE9xYhaYKj9kDnE-hNy5eTe</w:t>
      </w:r>
      <w:r w:rsidR="00F5620E">
        <w:rPr>
          <w:rFonts w:cs="Times New Roman"/>
        </w:rPr>
        <w:t>.</w:t>
      </w:r>
    </w:p>
  </w:footnote>
  <w:footnote w:id="143">
    <w:p w14:paraId="1D022701" w14:textId="2B5BD2BE"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Halper, </w:t>
      </w:r>
      <w:r w:rsidRPr="00BE4144">
        <w:rPr>
          <w:rFonts w:cs="Times New Roman"/>
          <w:i/>
          <w:iCs/>
        </w:rPr>
        <w:t xml:space="preserve">supra </w:t>
      </w:r>
      <w:r w:rsidRPr="00BE4144">
        <w:rPr>
          <w:rFonts w:cs="Times New Roman"/>
        </w:rPr>
        <w:t xml:space="preserve">note xx. </w:t>
      </w:r>
    </w:p>
  </w:footnote>
  <w:footnote w:id="144">
    <w:p w14:paraId="759ED516" w14:textId="5D714702"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eastAsia="Times New Roman" w:cs="Times New Roman"/>
          <w:smallCaps/>
          <w:color w:val="000000"/>
        </w:rPr>
        <w:t>Fuel Cell &amp; Hydrogen Energy Association</w:t>
      </w:r>
      <w:r w:rsidR="00A11F3D" w:rsidRPr="00403D85">
        <w:rPr>
          <w:rFonts w:eastAsia="Times New Roman" w:cs="Times New Roman"/>
          <w:smallCaps/>
          <w:color w:val="000000"/>
        </w:rPr>
        <w:t>, About Us</w:t>
      </w:r>
      <w:r w:rsidRPr="00403D85">
        <w:rPr>
          <w:rFonts w:eastAsia="Times New Roman" w:cs="Times New Roman"/>
          <w:i/>
          <w:iCs/>
          <w:color w:val="000000"/>
        </w:rPr>
        <w:t xml:space="preserve"> </w:t>
      </w:r>
      <w:r w:rsidR="00A11F3D" w:rsidRPr="00403D85">
        <w:rPr>
          <w:rFonts w:eastAsia="Times New Roman" w:cs="Times New Roman"/>
          <w:color w:val="000000"/>
        </w:rPr>
        <w:t>(</w:t>
      </w:r>
      <w:r w:rsidRPr="00A11F3D">
        <w:rPr>
          <w:rFonts w:eastAsia="Times New Roman" w:cs="Times New Roman"/>
          <w:color w:val="000000"/>
        </w:rPr>
        <w:t>2022)</w:t>
      </w:r>
      <w:r w:rsidR="00A11F3D">
        <w:rPr>
          <w:rFonts w:eastAsia="Times New Roman" w:cs="Times New Roman"/>
          <w:color w:val="000000"/>
        </w:rPr>
        <w:t xml:space="preserve">, </w:t>
      </w:r>
      <w:hyperlink r:id="rId26" w:history="1">
        <w:r w:rsidR="00A11F3D" w:rsidRPr="007571BA">
          <w:rPr>
            <w:rStyle w:val="Hyperlink"/>
            <w:rFonts w:eastAsia="Times New Roman" w:cs="Times New Roman"/>
          </w:rPr>
          <w:t>https://www.fchea.org/aboutus</w:t>
        </w:r>
      </w:hyperlink>
      <w:r w:rsidR="00A11F3D" w:rsidRPr="00A11F3D">
        <w:rPr>
          <w:rFonts w:eastAsia="Times New Roman" w:cs="Times New Roman"/>
          <w:color w:val="000000"/>
        </w:rPr>
        <w:t>.</w:t>
      </w:r>
      <w:r w:rsidR="00A11F3D">
        <w:rPr>
          <w:rFonts w:eastAsia="Times New Roman" w:cs="Times New Roman"/>
          <w:color w:val="000000"/>
        </w:rPr>
        <w:t xml:space="preserve">  </w:t>
      </w:r>
    </w:p>
  </w:footnote>
  <w:footnote w:id="145">
    <w:p w14:paraId="23007095" w14:textId="3D8445E5"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CB108B">
        <w:rPr>
          <w:rFonts w:eastAsia="Times New Roman" w:cs="Times New Roman"/>
          <w:color w:val="000000"/>
        </w:rPr>
        <w:t xml:space="preserve">Carl </w:t>
      </w:r>
      <w:r w:rsidRPr="00BE4144">
        <w:rPr>
          <w:rFonts w:eastAsia="Times New Roman" w:cs="Times New Roman"/>
          <w:color w:val="000000"/>
        </w:rPr>
        <w:t>Rivkin</w:t>
      </w:r>
      <w:r w:rsidR="00CB108B">
        <w:rPr>
          <w:rFonts w:eastAsia="Times New Roman" w:cs="Times New Roman"/>
          <w:color w:val="000000"/>
        </w:rPr>
        <w:t xml:space="preserve">, Chad Blake, Robert Burgess, William J. Buttner &amp; Matthew B. Post, </w:t>
      </w:r>
      <w:r w:rsidR="00CB108B" w:rsidRPr="00403D85">
        <w:rPr>
          <w:rFonts w:eastAsia="Times New Roman" w:cs="Times New Roman"/>
          <w:i/>
          <w:iCs/>
          <w:color w:val="000000"/>
        </w:rPr>
        <w:t>A National Set of Hydrogen Codes and Standards for the United States</w:t>
      </w:r>
      <w:r w:rsidR="00CB108B">
        <w:rPr>
          <w:rFonts w:eastAsia="Times New Roman" w:cs="Times New Roman"/>
          <w:color w:val="000000"/>
        </w:rPr>
        <w:t xml:space="preserve">, </w:t>
      </w:r>
      <w:r w:rsidR="00CB108B" w:rsidRPr="00403D85">
        <w:rPr>
          <w:rFonts w:eastAsia="Times New Roman" w:cs="Times New Roman"/>
          <w:smallCaps/>
          <w:color w:val="000000"/>
        </w:rPr>
        <w:t>36 Int'’ J. Hydrogen Energy</w:t>
      </w:r>
      <w:r w:rsidR="00CB108B">
        <w:rPr>
          <w:rFonts w:eastAsia="Times New Roman" w:cs="Times New Roman"/>
          <w:color w:val="000000"/>
        </w:rPr>
        <w:t xml:space="preserve"> 2736</w:t>
      </w:r>
      <w:r w:rsidRPr="00BE4144">
        <w:rPr>
          <w:rFonts w:eastAsia="Times New Roman" w:cs="Times New Roman"/>
          <w:color w:val="000000"/>
        </w:rPr>
        <w:t xml:space="preserve"> </w:t>
      </w:r>
      <w:r w:rsidR="00CB108B">
        <w:rPr>
          <w:rFonts w:eastAsia="Times New Roman" w:cs="Times New Roman"/>
          <w:color w:val="000000"/>
        </w:rPr>
        <w:t>(</w:t>
      </w:r>
      <w:r w:rsidRPr="00BE4144">
        <w:rPr>
          <w:rFonts w:eastAsia="Times New Roman" w:cs="Times New Roman"/>
          <w:color w:val="000000"/>
        </w:rPr>
        <w:t>2011)</w:t>
      </w:r>
      <w:r w:rsidR="00CB108B">
        <w:rPr>
          <w:rFonts w:eastAsia="Times New Roman" w:cs="Times New Roman"/>
          <w:color w:val="000000"/>
        </w:rPr>
        <w:t>.</w:t>
      </w:r>
    </w:p>
  </w:footnote>
  <w:footnote w:id="146">
    <w:p w14:paraId="5936745A" w14:textId="167A258E" w:rsidR="008F0749" w:rsidRPr="00BE4144" w:rsidRDefault="008F074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CB108B" w:rsidRPr="00403D85">
        <w:rPr>
          <w:rFonts w:eastAsia="Times New Roman" w:cs="Times New Roman"/>
          <w:smallCaps/>
          <w:color w:val="000000"/>
        </w:rPr>
        <w:t xml:space="preserve">Carl Rivkin, </w:t>
      </w:r>
      <w:proofErr w:type="spellStart"/>
      <w:r w:rsidR="00CB108B" w:rsidRPr="00403D85">
        <w:rPr>
          <w:rFonts w:eastAsia="Times New Roman" w:cs="Times New Roman"/>
          <w:smallCaps/>
          <w:color w:val="000000"/>
        </w:rPr>
        <w:t>Nat’l</w:t>
      </w:r>
      <w:proofErr w:type="spellEnd"/>
      <w:r w:rsidR="00CB108B" w:rsidRPr="00403D85">
        <w:rPr>
          <w:rFonts w:eastAsia="Times New Roman" w:cs="Times New Roman"/>
          <w:smallCaps/>
          <w:color w:val="000000"/>
        </w:rPr>
        <w:t xml:space="preserve"> Renewable Energy </w:t>
      </w:r>
      <w:proofErr w:type="spellStart"/>
      <w:r w:rsidR="00CB108B" w:rsidRPr="00403D85">
        <w:rPr>
          <w:rFonts w:eastAsia="Times New Roman" w:cs="Times New Roman"/>
          <w:smallCaps/>
          <w:color w:val="000000"/>
        </w:rPr>
        <w:t>Lab’y</w:t>
      </w:r>
      <w:proofErr w:type="spellEnd"/>
      <w:r w:rsidR="00CB108B" w:rsidRPr="00403D85">
        <w:rPr>
          <w:rFonts w:eastAsia="Times New Roman" w:cs="Times New Roman"/>
          <w:smallCaps/>
          <w:color w:val="000000"/>
        </w:rPr>
        <w:t>, Overview NFPA 2 Hydrogen Technologies Code Requirements</w:t>
      </w:r>
      <w:r w:rsidR="00CB108B">
        <w:rPr>
          <w:rFonts w:eastAsia="Times New Roman" w:cs="Times New Roman"/>
          <w:color w:val="000000"/>
        </w:rPr>
        <w:t xml:space="preserve"> (2018), </w:t>
      </w:r>
      <w:hyperlink r:id="rId27" w:history="1">
        <w:r w:rsidR="00CB108B" w:rsidRPr="007571BA">
          <w:rPr>
            <w:rStyle w:val="Hyperlink"/>
            <w:rFonts w:eastAsia="Times New Roman" w:cs="Times New Roman"/>
          </w:rPr>
          <w:t>https://www.hydrogen.energy.gov/pdfs/progress18/scs_rivkin_2018.pdf</w:t>
        </w:r>
      </w:hyperlink>
      <w:r w:rsidR="00CB108B">
        <w:rPr>
          <w:rFonts w:eastAsia="Times New Roman" w:cs="Times New Roman"/>
          <w:color w:val="000000"/>
        </w:rPr>
        <w:t xml:space="preserve">. </w:t>
      </w:r>
    </w:p>
  </w:footnote>
  <w:footnote w:id="147">
    <w:p w14:paraId="5EE5E29B" w14:textId="66FF7760" w:rsidR="001203CA" w:rsidRPr="00CB108B" w:rsidRDefault="001203C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CB108B">
        <w:rPr>
          <w:rFonts w:eastAsia="Times New Roman" w:cs="Times New Roman"/>
          <w:i/>
          <w:iCs/>
          <w:color w:val="000000"/>
        </w:rPr>
        <w:t xml:space="preserve">Supra </w:t>
      </w:r>
      <w:r w:rsidR="00CB108B">
        <w:rPr>
          <w:rFonts w:eastAsia="Times New Roman" w:cs="Times New Roman"/>
          <w:color w:val="000000"/>
        </w:rPr>
        <w:t xml:space="preserve">note </w:t>
      </w:r>
      <w:r w:rsidR="00CB108B">
        <w:rPr>
          <w:rFonts w:eastAsia="Times New Roman" w:cs="Times New Roman"/>
          <w:color w:val="000000"/>
        </w:rPr>
        <w:fldChar w:fldCharType="begin"/>
      </w:r>
      <w:r w:rsidR="00CB108B">
        <w:rPr>
          <w:rFonts w:eastAsia="Times New Roman" w:cs="Times New Roman"/>
          <w:color w:val="000000"/>
        </w:rPr>
        <w:instrText xml:space="preserve"> NOTEREF _Ref142251669 \h </w:instrText>
      </w:r>
      <w:r w:rsidR="00CB108B">
        <w:rPr>
          <w:rFonts w:eastAsia="Times New Roman" w:cs="Times New Roman"/>
          <w:color w:val="000000"/>
        </w:rPr>
      </w:r>
      <w:r w:rsidR="00CB108B">
        <w:rPr>
          <w:rFonts w:eastAsia="Times New Roman" w:cs="Times New Roman"/>
          <w:color w:val="000000"/>
        </w:rPr>
        <w:fldChar w:fldCharType="separate"/>
      </w:r>
      <w:r w:rsidR="00CB108B">
        <w:rPr>
          <w:rFonts w:eastAsia="Times New Roman" w:cs="Times New Roman"/>
          <w:color w:val="000000"/>
        </w:rPr>
        <w:t>143</w:t>
      </w:r>
      <w:r w:rsidR="00CB108B">
        <w:rPr>
          <w:rFonts w:eastAsia="Times New Roman" w:cs="Times New Roman"/>
          <w:color w:val="000000"/>
        </w:rPr>
        <w:fldChar w:fldCharType="end"/>
      </w:r>
      <w:r w:rsidR="00CB108B">
        <w:rPr>
          <w:rFonts w:eastAsia="Times New Roman" w:cs="Times New Roman"/>
          <w:color w:val="000000"/>
        </w:rPr>
        <w:t>.</w:t>
      </w:r>
    </w:p>
  </w:footnote>
  <w:footnote w:id="148">
    <w:p w14:paraId="131CF09D" w14:textId="71937FF4" w:rsidR="001203CA" w:rsidRPr="00BE4144" w:rsidRDefault="001203C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eastAsia="Times New Roman" w:cs="Times New Roman"/>
          <w:smallCaps/>
          <w:color w:val="000000"/>
        </w:rPr>
        <w:t>Aerospace Research Central</w:t>
      </w:r>
      <w:r w:rsidR="00CB108B" w:rsidRPr="00403D85">
        <w:rPr>
          <w:rFonts w:eastAsia="Times New Roman" w:cs="Times New Roman"/>
          <w:smallCaps/>
          <w:color w:val="000000"/>
        </w:rPr>
        <w:t xml:space="preserve">, </w:t>
      </w:r>
      <w:r w:rsidR="00CB108B" w:rsidRPr="00403D85">
        <w:rPr>
          <w:rFonts w:eastAsia="Times New Roman" w:cs="Times New Roman"/>
          <w:smallCaps/>
          <w:color w:val="000000"/>
          <w:szCs w:val="24"/>
        </w:rPr>
        <w:t>Guide to Safety of Hydrogen and Hydrogen Systems</w:t>
      </w:r>
      <w:r w:rsidRPr="00BE4144">
        <w:rPr>
          <w:rFonts w:eastAsia="Times New Roman" w:cs="Times New Roman"/>
          <w:color w:val="000000"/>
        </w:rPr>
        <w:t xml:space="preserve"> </w:t>
      </w:r>
      <w:r w:rsidR="00CB108B">
        <w:rPr>
          <w:rFonts w:eastAsia="Times New Roman" w:cs="Times New Roman"/>
          <w:color w:val="000000"/>
        </w:rPr>
        <w:t>(</w:t>
      </w:r>
      <w:r w:rsidRPr="00BE4144">
        <w:rPr>
          <w:rFonts w:eastAsia="Times New Roman" w:cs="Times New Roman"/>
          <w:color w:val="000000"/>
        </w:rPr>
        <w:t>2017)</w:t>
      </w:r>
      <w:r w:rsidR="00CB108B">
        <w:rPr>
          <w:rFonts w:eastAsia="Times New Roman" w:cs="Times New Roman"/>
          <w:color w:val="000000"/>
        </w:rPr>
        <w:t xml:space="preserve">, </w:t>
      </w:r>
      <w:hyperlink r:id="rId28" w:history="1">
        <w:r w:rsidR="00CB108B" w:rsidRPr="007571BA">
          <w:rPr>
            <w:rStyle w:val="Hyperlink"/>
            <w:rFonts w:eastAsia="Times New Roman" w:cs="Times New Roman"/>
            <w:szCs w:val="24"/>
          </w:rPr>
          <w:t>https://www.api.org/products-and-services/standards/important-standards-announcements</w:t>
        </w:r>
      </w:hyperlink>
      <w:r w:rsidR="00CB108B">
        <w:rPr>
          <w:rFonts w:eastAsia="Times New Roman" w:cs="Times New Roman"/>
          <w:color w:val="000000"/>
          <w:szCs w:val="24"/>
        </w:rPr>
        <w:t xml:space="preserve">. </w:t>
      </w:r>
    </w:p>
  </w:footnote>
  <w:footnote w:id="149">
    <w:p w14:paraId="5382DCD7" w14:textId="42A0AAED" w:rsidR="001203CA" w:rsidRPr="00615773" w:rsidRDefault="001203C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CB108B">
        <w:rPr>
          <w:rFonts w:eastAsia="Times New Roman" w:cs="Times New Roman"/>
          <w:color w:val="000000"/>
        </w:rPr>
        <w:t>H21</w:t>
      </w:r>
      <w:r w:rsidR="00615773">
        <w:rPr>
          <w:rFonts w:eastAsia="Times New Roman" w:cs="Times New Roman"/>
          <w:color w:val="000000"/>
        </w:rPr>
        <w:t xml:space="preserve">, </w:t>
      </w:r>
      <w:r w:rsidR="00615773" w:rsidRPr="00403D85">
        <w:rPr>
          <w:rFonts w:eastAsia="Times New Roman" w:cs="Times New Roman"/>
          <w:i/>
          <w:iCs/>
          <w:color w:val="222222"/>
          <w:szCs w:val="24"/>
        </w:rPr>
        <w:t>H21 Phase 1 Summary</w:t>
      </w:r>
      <w:r w:rsidR="00615773">
        <w:rPr>
          <w:rFonts w:eastAsia="Times New Roman" w:cs="Times New Roman"/>
          <w:color w:val="222222"/>
          <w:szCs w:val="24"/>
        </w:rPr>
        <w:t xml:space="preserve">, </w:t>
      </w:r>
      <w:hyperlink r:id="rId29" w:history="1">
        <w:r w:rsidR="00615773" w:rsidRPr="007571BA">
          <w:rPr>
            <w:rStyle w:val="Hyperlink"/>
            <w:rFonts w:eastAsia="Times New Roman" w:cs="Times New Roman"/>
            <w:szCs w:val="24"/>
          </w:rPr>
          <w:t>https://h21.green/</w:t>
        </w:r>
      </w:hyperlink>
      <w:r w:rsidR="00615773" w:rsidRPr="00EC79E0">
        <w:rPr>
          <w:rFonts w:eastAsia="Times New Roman" w:cs="Times New Roman"/>
          <w:color w:val="222222"/>
          <w:szCs w:val="24"/>
        </w:rPr>
        <w:t>.</w:t>
      </w:r>
      <w:r w:rsidR="00615773">
        <w:rPr>
          <w:rFonts w:eastAsia="Times New Roman" w:cs="Times New Roman"/>
          <w:color w:val="222222"/>
          <w:szCs w:val="24"/>
        </w:rPr>
        <w:t xml:space="preserve"> </w:t>
      </w:r>
    </w:p>
  </w:footnote>
  <w:footnote w:id="150">
    <w:p w14:paraId="20323F00" w14:textId="28CA2688" w:rsidR="001203CA" w:rsidRPr="00BE4144" w:rsidRDefault="001203C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615773">
        <w:rPr>
          <w:rFonts w:eastAsia="Times New Roman" w:cs="Times New Roman"/>
          <w:color w:val="000000"/>
        </w:rPr>
        <w:t xml:space="preserve">H21, </w:t>
      </w:r>
      <w:r w:rsidR="00615773" w:rsidRPr="00403D85">
        <w:rPr>
          <w:rFonts w:eastAsia="Times New Roman" w:cs="Times New Roman"/>
          <w:i/>
          <w:iCs/>
          <w:color w:val="222222"/>
          <w:szCs w:val="24"/>
        </w:rPr>
        <w:t xml:space="preserve">What do the public think about </w:t>
      </w:r>
      <w:proofErr w:type="gramStart"/>
      <w:r w:rsidR="00615773" w:rsidRPr="00403D85">
        <w:rPr>
          <w:rFonts w:eastAsia="Times New Roman" w:cs="Times New Roman"/>
          <w:i/>
          <w:iCs/>
          <w:color w:val="222222"/>
          <w:szCs w:val="24"/>
        </w:rPr>
        <w:t>hydrogen?</w:t>
      </w:r>
      <w:r w:rsidR="00615773">
        <w:rPr>
          <w:rFonts w:eastAsia="Times New Roman" w:cs="Times New Roman"/>
          <w:color w:val="222222"/>
          <w:szCs w:val="24"/>
        </w:rPr>
        <w:t>,</w:t>
      </w:r>
      <w:proofErr w:type="gramEnd"/>
      <w:r w:rsidR="00615773" w:rsidRPr="00EC79E0">
        <w:rPr>
          <w:rFonts w:eastAsia="Times New Roman" w:cs="Times New Roman"/>
          <w:color w:val="222222"/>
          <w:szCs w:val="24"/>
        </w:rPr>
        <w:t xml:space="preserve"> </w:t>
      </w:r>
      <w:hyperlink r:id="rId30" w:history="1">
        <w:r w:rsidR="00615773" w:rsidRPr="007571BA">
          <w:rPr>
            <w:rStyle w:val="Hyperlink"/>
            <w:rFonts w:eastAsia="Times New Roman" w:cs="Times New Roman"/>
            <w:szCs w:val="24"/>
          </w:rPr>
          <w:t>https://h21.green/what-do-the-public-think-about-hydrogen/</w:t>
        </w:r>
      </w:hyperlink>
      <w:r w:rsidR="00615773" w:rsidRPr="00EC79E0">
        <w:rPr>
          <w:rFonts w:eastAsia="Times New Roman" w:cs="Times New Roman"/>
          <w:color w:val="222222"/>
          <w:szCs w:val="24"/>
        </w:rPr>
        <w:t>.</w:t>
      </w:r>
      <w:r w:rsidR="00615773">
        <w:rPr>
          <w:rFonts w:eastAsia="Times New Roman" w:cs="Times New Roman"/>
          <w:color w:val="222222"/>
          <w:szCs w:val="24"/>
        </w:rPr>
        <w:t xml:space="preserve"> </w:t>
      </w:r>
    </w:p>
  </w:footnote>
  <w:footnote w:id="151">
    <w:p w14:paraId="734B8A94" w14:textId="026036B2" w:rsidR="001203CA" w:rsidRPr="00615773" w:rsidRDefault="001203C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Ehrhart, Glover, &amp; LaFleur</w:t>
      </w:r>
      <w:r w:rsidR="00615773">
        <w:rPr>
          <w:rFonts w:eastAsia="Times New Roman" w:cs="Times New Roman"/>
          <w:color w:val="000000"/>
        </w:rPr>
        <w:t xml:space="preserve">, </w:t>
      </w:r>
      <w:r w:rsidR="00615773">
        <w:rPr>
          <w:rFonts w:eastAsia="Times New Roman" w:cs="Times New Roman"/>
          <w:i/>
          <w:iCs/>
          <w:color w:val="000000"/>
        </w:rPr>
        <w:t xml:space="preserve">supra </w:t>
      </w:r>
      <w:r w:rsidR="00615773">
        <w:rPr>
          <w:rFonts w:eastAsia="Times New Roman" w:cs="Times New Roman"/>
          <w:color w:val="000000"/>
        </w:rPr>
        <w:t xml:space="preserve">note </w:t>
      </w:r>
      <w:r w:rsidR="00615773">
        <w:rPr>
          <w:rFonts w:eastAsia="Times New Roman" w:cs="Times New Roman"/>
          <w:color w:val="000000"/>
        </w:rPr>
        <w:fldChar w:fldCharType="begin"/>
      </w:r>
      <w:r w:rsidR="00615773">
        <w:rPr>
          <w:rFonts w:eastAsia="Times New Roman" w:cs="Times New Roman"/>
          <w:color w:val="000000"/>
        </w:rPr>
        <w:instrText xml:space="preserve"> NOTEREF _Ref142230771 \h </w:instrText>
      </w:r>
      <w:r w:rsidR="00615773">
        <w:rPr>
          <w:rFonts w:eastAsia="Times New Roman" w:cs="Times New Roman"/>
          <w:color w:val="000000"/>
        </w:rPr>
      </w:r>
      <w:r w:rsidR="00615773">
        <w:rPr>
          <w:rFonts w:eastAsia="Times New Roman" w:cs="Times New Roman"/>
          <w:color w:val="000000"/>
        </w:rPr>
        <w:fldChar w:fldCharType="separate"/>
      </w:r>
      <w:r w:rsidR="00615773">
        <w:rPr>
          <w:rFonts w:eastAsia="Times New Roman" w:cs="Times New Roman"/>
          <w:color w:val="000000"/>
        </w:rPr>
        <w:t>37</w:t>
      </w:r>
      <w:r w:rsidR="00615773">
        <w:rPr>
          <w:rFonts w:eastAsia="Times New Roman" w:cs="Times New Roman"/>
          <w:color w:val="000000"/>
        </w:rPr>
        <w:fldChar w:fldCharType="end"/>
      </w:r>
      <w:r w:rsidR="00615773">
        <w:rPr>
          <w:rFonts w:eastAsia="Times New Roman" w:cs="Times New Roman"/>
          <w:color w:val="000000"/>
        </w:rPr>
        <w:t>.</w:t>
      </w:r>
    </w:p>
  </w:footnote>
  <w:footnote w:id="152">
    <w:p w14:paraId="5E294714" w14:textId="401EED35" w:rsidR="001203CA" w:rsidRPr="00BE4144" w:rsidRDefault="001203C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615773">
        <w:rPr>
          <w:rFonts w:eastAsia="Times New Roman" w:cs="Times New Roman"/>
          <w:color w:val="000000"/>
        </w:rPr>
        <w:t xml:space="preserve">H2, Hydrogen Tools, </w:t>
      </w:r>
      <w:hyperlink r:id="rId31" w:history="1">
        <w:r w:rsidR="00615773" w:rsidRPr="007571BA">
          <w:rPr>
            <w:rStyle w:val="Hyperlink"/>
            <w:rFonts w:eastAsia="Times New Roman" w:cs="Times New Roman"/>
            <w:szCs w:val="24"/>
          </w:rPr>
          <w:t>https://h2tools.org/fuel-cell-codes-and-standards?search_api_fulltext=</w:t>
        </w:r>
      </w:hyperlink>
      <w:r w:rsidR="00615773">
        <w:rPr>
          <w:rFonts w:eastAsia="Times New Roman" w:cs="Times New Roman"/>
          <w:color w:val="222222"/>
          <w:szCs w:val="24"/>
        </w:rPr>
        <w:t xml:space="preserve">. </w:t>
      </w:r>
    </w:p>
  </w:footnote>
  <w:footnote w:id="153">
    <w:p w14:paraId="635F6D7D" w14:textId="3BA5D287" w:rsidR="001203CA" w:rsidRPr="00BE4144" w:rsidRDefault="001203C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54">
    <w:p w14:paraId="6F1C3DA2" w14:textId="067D46DB"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FB00E5">
        <w:rPr>
          <w:rFonts w:eastAsia="Times New Roman" w:cs="Times New Roman"/>
          <w:color w:val="000000"/>
        </w:rPr>
        <w:t>Rivkin et a</w:t>
      </w:r>
      <w:r w:rsidR="00FB00E5">
        <w:rPr>
          <w:rFonts w:eastAsia="Times New Roman" w:cs="Times New Roman"/>
          <w:color w:val="000000"/>
        </w:rPr>
        <w:t xml:space="preserve">l, </w:t>
      </w:r>
      <w:r w:rsidR="00FB00E5">
        <w:rPr>
          <w:rFonts w:eastAsia="Times New Roman" w:cs="Times New Roman"/>
          <w:i/>
          <w:iCs/>
          <w:color w:val="000000"/>
        </w:rPr>
        <w:t xml:space="preserve">supra </w:t>
      </w:r>
      <w:r w:rsidR="00FB00E5">
        <w:rPr>
          <w:rFonts w:eastAsia="Times New Roman" w:cs="Times New Roman"/>
          <w:color w:val="000000"/>
        </w:rPr>
        <w:t xml:space="preserve">note </w:t>
      </w:r>
      <w:r w:rsidR="00FB00E5">
        <w:rPr>
          <w:rFonts w:eastAsia="Times New Roman" w:cs="Times New Roman"/>
          <w:color w:val="000000"/>
        </w:rPr>
        <w:fldChar w:fldCharType="begin"/>
      </w:r>
      <w:r w:rsidR="00FB00E5">
        <w:rPr>
          <w:rFonts w:eastAsia="Times New Roman" w:cs="Times New Roman"/>
          <w:color w:val="000000"/>
        </w:rPr>
        <w:instrText xml:space="preserve"> NOTEREF _Ref142244991 \h </w:instrText>
      </w:r>
      <w:r w:rsidR="00FB00E5">
        <w:rPr>
          <w:rFonts w:eastAsia="Times New Roman" w:cs="Times New Roman"/>
          <w:color w:val="000000"/>
        </w:rPr>
      </w:r>
      <w:r w:rsidR="00FB00E5">
        <w:rPr>
          <w:rFonts w:eastAsia="Times New Roman" w:cs="Times New Roman"/>
          <w:color w:val="000000"/>
        </w:rPr>
        <w:fldChar w:fldCharType="separate"/>
      </w:r>
      <w:r w:rsidR="00FB00E5">
        <w:rPr>
          <w:rFonts w:eastAsia="Times New Roman" w:cs="Times New Roman"/>
          <w:color w:val="000000"/>
        </w:rPr>
        <w:t>63</w:t>
      </w:r>
      <w:r w:rsidR="00FB00E5">
        <w:rPr>
          <w:rFonts w:eastAsia="Times New Roman" w:cs="Times New Roman"/>
          <w:color w:val="000000"/>
        </w:rPr>
        <w:fldChar w:fldCharType="end"/>
      </w:r>
      <w:r w:rsidR="00FB00E5">
        <w:rPr>
          <w:rFonts w:eastAsia="Times New Roman" w:cs="Times New Roman"/>
          <w:color w:val="000000"/>
        </w:rPr>
        <w:t>.</w:t>
      </w:r>
    </w:p>
  </w:footnote>
  <w:footnote w:id="155">
    <w:p w14:paraId="03DEAF2C" w14:textId="0CDAE0E0"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Baird et al.</w:t>
      </w:r>
      <w:r w:rsidR="00FB00E5">
        <w:rPr>
          <w:rFonts w:eastAsia="Times New Roman" w:cs="Times New Roman"/>
          <w:color w:val="000000"/>
        </w:rPr>
        <w:t xml:space="preserve">, </w:t>
      </w:r>
      <w:r w:rsidR="00FB00E5">
        <w:rPr>
          <w:rFonts w:eastAsia="Times New Roman" w:cs="Times New Roman"/>
          <w:i/>
          <w:iCs/>
          <w:color w:val="000000"/>
        </w:rPr>
        <w:t xml:space="preserve">supra </w:t>
      </w:r>
      <w:r w:rsidR="00FB00E5">
        <w:rPr>
          <w:rFonts w:eastAsia="Times New Roman" w:cs="Times New Roman"/>
          <w:color w:val="000000"/>
        </w:rPr>
        <w:t xml:space="preserve">note </w:t>
      </w:r>
      <w:r w:rsidR="00FB00E5">
        <w:rPr>
          <w:rFonts w:eastAsia="Times New Roman" w:cs="Times New Roman"/>
          <w:color w:val="000000"/>
        </w:rPr>
        <w:fldChar w:fldCharType="begin"/>
      </w:r>
      <w:r w:rsidR="00FB00E5">
        <w:rPr>
          <w:rFonts w:eastAsia="Times New Roman" w:cs="Times New Roman"/>
          <w:color w:val="000000"/>
        </w:rPr>
        <w:instrText xml:space="preserve"> NOTEREF _Ref142236845 \h </w:instrText>
      </w:r>
      <w:r w:rsidR="00FB00E5">
        <w:rPr>
          <w:rFonts w:eastAsia="Times New Roman" w:cs="Times New Roman"/>
          <w:color w:val="000000"/>
        </w:rPr>
      </w:r>
      <w:r w:rsidR="00FB00E5">
        <w:rPr>
          <w:rFonts w:eastAsia="Times New Roman" w:cs="Times New Roman"/>
          <w:color w:val="000000"/>
        </w:rPr>
        <w:fldChar w:fldCharType="separate"/>
      </w:r>
      <w:r w:rsidR="00FB00E5">
        <w:rPr>
          <w:rFonts w:eastAsia="Times New Roman" w:cs="Times New Roman"/>
          <w:color w:val="000000"/>
        </w:rPr>
        <w:t>36</w:t>
      </w:r>
      <w:r w:rsidR="00FB00E5">
        <w:rPr>
          <w:rFonts w:eastAsia="Times New Roman" w:cs="Times New Roman"/>
          <w:color w:val="000000"/>
        </w:rPr>
        <w:fldChar w:fldCharType="end"/>
      </w:r>
      <w:r w:rsidR="00FB00E5">
        <w:rPr>
          <w:rFonts w:eastAsia="Times New Roman" w:cs="Times New Roman"/>
          <w:color w:val="000000"/>
        </w:rPr>
        <w:t>.</w:t>
      </w:r>
    </w:p>
  </w:footnote>
  <w:footnote w:id="156">
    <w:p w14:paraId="69022586" w14:textId="1EF564C1"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proofErr w:type="spellStart"/>
      <w:r w:rsidRPr="00BE4144">
        <w:rPr>
          <w:rFonts w:eastAsia="Times New Roman" w:cs="Times New Roman"/>
          <w:color w:val="000000"/>
        </w:rPr>
        <w:t>Koehr</w:t>
      </w:r>
      <w:proofErr w:type="spellEnd"/>
      <w:r w:rsidR="00FB00E5">
        <w:rPr>
          <w:rFonts w:eastAsia="Times New Roman" w:cs="Times New Roman"/>
          <w:color w:val="000000"/>
        </w:rPr>
        <w:t xml:space="preserve">, </w:t>
      </w:r>
      <w:r w:rsidR="00FB00E5">
        <w:rPr>
          <w:rFonts w:eastAsia="Times New Roman" w:cs="Times New Roman"/>
          <w:i/>
          <w:iCs/>
          <w:color w:val="000000"/>
        </w:rPr>
        <w:t xml:space="preserve">supra </w:t>
      </w:r>
      <w:r w:rsidR="00FB00E5">
        <w:rPr>
          <w:rFonts w:eastAsia="Times New Roman" w:cs="Times New Roman"/>
          <w:color w:val="000000"/>
        </w:rPr>
        <w:t xml:space="preserve">note </w:t>
      </w:r>
      <w:r w:rsidR="00FB00E5">
        <w:rPr>
          <w:rFonts w:eastAsia="Times New Roman" w:cs="Times New Roman"/>
          <w:color w:val="000000"/>
        </w:rPr>
        <w:fldChar w:fldCharType="begin"/>
      </w:r>
      <w:r w:rsidR="00FB00E5">
        <w:rPr>
          <w:rFonts w:eastAsia="Times New Roman" w:cs="Times New Roman"/>
          <w:color w:val="000000"/>
        </w:rPr>
        <w:instrText xml:space="preserve"> NOTEREF _Ref142252604 \h </w:instrText>
      </w:r>
      <w:r w:rsidR="00FB00E5">
        <w:rPr>
          <w:rFonts w:eastAsia="Times New Roman" w:cs="Times New Roman"/>
          <w:color w:val="000000"/>
        </w:rPr>
      </w:r>
      <w:r w:rsidR="00FB00E5">
        <w:rPr>
          <w:rFonts w:eastAsia="Times New Roman" w:cs="Times New Roman"/>
          <w:color w:val="000000"/>
        </w:rPr>
        <w:fldChar w:fldCharType="separate"/>
      </w:r>
      <w:r w:rsidR="00FB00E5">
        <w:rPr>
          <w:rFonts w:eastAsia="Times New Roman" w:cs="Times New Roman"/>
          <w:color w:val="000000"/>
        </w:rPr>
        <w:t>86</w:t>
      </w:r>
      <w:r w:rsidR="00FB00E5">
        <w:rPr>
          <w:rFonts w:eastAsia="Times New Roman" w:cs="Times New Roman"/>
          <w:color w:val="000000"/>
        </w:rPr>
        <w:fldChar w:fldCharType="end"/>
      </w:r>
      <w:r w:rsidR="00FB00E5">
        <w:rPr>
          <w:rFonts w:eastAsia="Times New Roman" w:cs="Times New Roman"/>
          <w:color w:val="000000"/>
        </w:rPr>
        <w:t>.</w:t>
      </w:r>
    </w:p>
  </w:footnote>
  <w:footnote w:id="157">
    <w:p w14:paraId="6FE59B98" w14:textId="47270FFD"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B00E5" w:rsidRPr="00403D85">
        <w:rPr>
          <w:rFonts w:eastAsia="Times New Roman" w:cs="Times New Roman"/>
          <w:smallCaps/>
          <w:color w:val="000000"/>
        </w:rPr>
        <w:t xml:space="preserve">Compressed Gas Association, </w:t>
      </w:r>
      <w:r w:rsidR="00FB00E5" w:rsidRPr="00403D85">
        <w:rPr>
          <w:rFonts w:eastAsia="Times New Roman" w:cs="Times New Roman"/>
          <w:smallCaps/>
          <w:color w:val="222222"/>
          <w:szCs w:val="24"/>
        </w:rPr>
        <w:t>CGA PS-48 CGA Position Statement on Clarification of Existing Hydrogen Setback Distances and Development of New Hydrogen Setback Distances</w:t>
      </w:r>
      <w:r w:rsidR="00FB00E5">
        <w:rPr>
          <w:rFonts w:eastAsia="Times New Roman" w:cs="Times New Roman"/>
          <w:color w:val="222222"/>
          <w:szCs w:val="24"/>
        </w:rPr>
        <w:t xml:space="preserve"> (2016), </w:t>
      </w:r>
      <w:hyperlink r:id="rId32" w:history="1">
        <w:r w:rsidR="00FB00E5" w:rsidRPr="007571BA">
          <w:rPr>
            <w:rStyle w:val="Hyperlink"/>
            <w:rFonts w:eastAsia="Times New Roman" w:cs="Times New Roman"/>
            <w:szCs w:val="24"/>
          </w:rPr>
          <w:t>https://h2tools.org/fuel-cell-codes-and-standards/cga-ps-48-cga-position-statement-clarification-existing-hydrogen</w:t>
        </w:r>
      </w:hyperlink>
      <w:r w:rsidR="00FB00E5" w:rsidRPr="00EC79E0">
        <w:rPr>
          <w:rFonts w:eastAsia="Times New Roman" w:cs="Times New Roman"/>
          <w:color w:val="222222"/>
          <w:szCs w:val="24"/>
        </w:rPr>
        <w:t>.</w:t>
      </w:r>
      <w:r w:rsidR="00FB00E5">
        <w:rPr>
          <w:rFonts w:eastAsia="Times New Roman" w:cs="Times New Roman"/>
          <w:color w:val="222222"/>
          <w:szCs w:val="24"/>
        </w:rPr>
        <w:t xml:space="preserve"> </w:t>
      </w:r>
    </w:p>
  </w:footnote>
  <w:footnote w:id="158">
    <w:p w14:paraId="746C7FF1" w14:textId="63D52097"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59">
    <w:p w14:paraId="29858634" w14:textId="409D2883"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B00E5">
        <w:rPr>
          <w:rFonts w:cs="Times New Roman"/>
        </w:rPr>
        <w:t xml:space="preserve">Chris </w:t>
      </w:r>
      <w:r w:rsidRPr="00BE4144">
        <w:rPr>
          <w:rFonts w:cs="Times New Roman"/>
        </w:rPr>
        <w:t>LaFleur</w:t>
      </w:r>
      <w:r w:rsidR="00FB00E5">
        <w:rPr>
          <w:rFonts w:cs="Times New Roman"/>
        </w:rPr>
        <w:t xml:space="preserve">, Sandia </w:t>
      </w:r>
      <w:proofErr w:type="spellStart"/>
      <w:r w:rsidR="00FB00E5">
        <w:rPr>
          <w:rFonts w:cs="Times New Roman"/>
        </w:rPr>
        <w:t>Nat’l</w:t>
      </w:r>
      <w:proofErr w:type="spellEnd"/>
      <w:r w:rsidR="00FB00E5">
        <w:rPr>
          <w:rFonts w:cs="Times New Roman"/>
        </w:rPr>
        <w:t xml:space="preserve"> </w:t>
      </w:r>
      <w:proofErr w:type="spellStart"/>
      <w:r w:rsidR="00FB00E5">
        <w:rPr>
          <w:rFonts w:cs="Times New Roman"/>
        </w:rPr>
        <w:t>Lab’ies</w:t>
      </w:r>
      <w:proofErr w:type="spellEnd"/>
      <w:r w:rsidR="00FB00E5">
        <w:rPr>
          <w:rFonts w:cs="Times New Roman"/>
        </w:rPr>
        <w:t xml:space="preserve">, </w:t>
      </w:r>
      <w:r w:rsidR="00FB00E5">
        <w:t>SAND2017-0836PE</w:t>
      </w:r>
      <w:r w:rsidR="00FB00E5">
        <w:rPr>
          <w:rFonts w:eastAsia="Times New Roman" w:cs="Times New Roman"/>
          <w:color w:val="222222"/>
          <w:szCs w:val="24"/>
        </w:rPr>
        <w:t xml:space="preserve">, </w:t>
      </w:r>
      <w:r w:rsidR="00FB00E5" w:rsidRPr="00EC79E0">
        <w:rPr>
          <w:rFonts w:eastAsia="Times New Roman" w:cs="Times New Roman"/>
          <w:color w:val="222222"/>
          <w:szCs w:val="24"/>
        </w:rPr>
        <w:t>Gaseous Hydrogen Separation Distances</w:t>
      </w:r>
      <w:r w:rsidRPr="00BE4144">
        <w:rPr>
          <w:rFonts w:cs="Times New Roman"/>
        </w:rPr>
        <w:t xml:space="preserve"> 2017</w:t>
      </w:r>
      <w:r w:rsidR="00FB00E5">
        <w:rPr>
          <w:rFonts w:cs="Times New Roman"/>
        </w:rPr>
        <w:t xml:space="preserve">, </w:t>
      </w:r>
      <w:hyperlink r:id="rId33" w:history="1">
        <w:r w:rsidR="00FB00E5" w:rsidRPr="007571BA">
          <w:rPr>
            <w:rStyle w:val="Hyperlink"/>
            <w:rFonts w:cs="Times New Roman"/>
          </w:rPr>
          <w:t>https://www.osti.gov/servlets/purl/1429299</w:t>
        </w:r>
      </w:hyperlink>
      <w:r w:rsidR="00FB00E5">
        <w:rPr>
          <w:rFonts w:cs="Times New Roman"/>
        </w:rPr>
        <w:t xml:space="preserve">. </w:t>
      </w:r>
      <w:r w:rsidRPr="00BE4144">
        <w:rPr>
          <w:rFonts w:cs="Times New Roman"/>
        </w:rPr>
        <w:t xml:space="preserve"> </w:t>
      </w:r>
    </w:p>
  </w:footnote>
  <w:footnote w:id="160">
    <w:p w14:paraId="5A117D32" w14:textId="19A1C6D4"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 xml:space="preserve">Vinson </w:t>
      </w:r>
      <w:r w:rsidR="00FB00E5">
        <w:rPr>
          <w:rFonts w:eastAsia="Times New Roman" w:cs="Times New Roman"/>
          <w:color w:val="000000"/>
        </w:rPr>
        <w:t>&amp;</w:t>
      </w:r>
      <w:r w:rsidR="00FB00E5" w:rsidRPr="00BE4144">
        <w:rPr>
          <w:rFonts w:eastAsia="Times New Roman" w:cs="Times New Roman"/>
          <w:color w:val="000000"/>
        </w:rPr>
        <w:t xml:space="preserve"> </w:t>
      </w:r>
      <w:r w:rsidRPr="00BE4144">
        <w:rPr>
          <w:rFonts w:eastAsia="Times New Roman" w:cs="Times New Roman"/>
          <w:color w:val="000000"/>
        </w:rPr>
        <w:t>Elki</w:t>
      </w:r>
      <w:r w:rsidR="00FB00E5">
        <w:rPr>
          <w:rFonts w:eastAsia="Times New Roman" w:cs="Times New Roman"/>
          <w:color w:val="000000"/>
        </w:rPr>
        <w:t xml:space="preserve">ns, </w:t>
      </w:r>
      <w:r w:rsidR="00FB00E5">
        <w:rPr>
          <w:rFonts w:eastAsia="Times New Roman" w:cs="Times New Roman"/>
          <w:i/>
          <w:iCs/>
          <w:color w:val="000000"/>
        </w:rPr>
        <w:t xml:space="preserve">supra </w:t>
      </w:r>
      <w:r w:rsidR="00FB00E5">
        <w:rPr>
          <w:rFonts w:eastAsia="Times New Roman" w:cs="Times New Roman"/>
          <w:color w:val="000000"/>
        </w:rPr>
        <w:t xml:space="preserve">note </w:t>
      </w:r>
      <w:r w:rsidR="00FB00E5" w:rsidRPr="00403D85">
        <w:rPr>
          <w:rFonts w:eastAsia="Times New Roman" w:cs="Times New Roman"/>
          <w:color w:val="000000"/>
        </w:rPr>
        <w:fldChar w:fldCharType="begin"/>
      </w:r>
      <w:r w:rsidR="00FB00E5" w:rsidRPr="00403D85">
        <w:rPr>
          <w:rFonts w:eastAsia="Times New Roman" w:cs="Times New Roman"/>
          <w:color w:val="000000"/>
        </w:rPr>
        <w:instrText xml:space="preserve"> NOTEREF _Ref142252968 \h </w:instrText>
      </w:r>
      <w:r w:rsidR="00FB00E5">
        <w:rPr>
          <w:rFonts w:eastAsia="Times New Roman" w:cs="Times New Roman"/>
          <w:color w:val="000000"/>
        </w:rPr>
        <w:instrText xml:space="preserve"> \* MERGEFORMAT </w:instrText>
      </w:r>
      <w:r w:rsidR="00FB00E5" w:rsidRPr="00403D85">
        <w:rPr>
          <w:rFonts w:eastAsia="Times New Roman" w:cs="Times New Roman"/>
          <w:color w:val="000000"/>
        </w:rPr>
      </w:r>
      <w:r w:rsidR="00FB00E5" w:rsidRPr="00403D85">
        <w:rPr>
          <w:rFonts w:eastAsia="Times New Roman" w:cs="Times New Roman"/>
          <w:color w:val="000000"/>
        </w:rPr>
        <w:fldChar w:fldCharType="separate"/>
      </w:r>
      <w:r w:rsidR="00FB00E5" w:rsidRPr="00403D85">
        <w:rPr>
          <w:rFonts w:eastAsia="Times New Roman" w:cs="Times New Roman"/>
          <w:color w:val="000000"/>
        </w:rPr>
        <w:t>62</w:t>
      </w:r>
      <w:r w:rsidR="00FB00E5" w:rsidRPr="00403D85">
        <w:rPr>
          <w:rFonts w:eastAsia="Times New Roman" w:cs="Times New Roman"/>
          <w:color w:val="000000"/>
        </w:rPr>
        <w:fldChar w:fldCharType="end"/>
      </w:r>
      <w:r w:rsidR="00FB00E5" w:rsidRPr="00403D85">
        <w:rPr>
          <w:rFonts w:eastAsia="Times New Roman" w:cs="Times New Roman"/>
          <w:color w:val="000000"/>
        </w:rPr>
        <w:t>.</w:t>
      </w:r>
    </w:p>
  </w:footnote>
  <w:footnote w:id="161">
    <w:p w14:paraId="0718B6F9" w14:textId="6E556956"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B00E5">
        <w:rPr>
          <w:rFonts w:eastAsia="Times New Roman" w:cs="Times New Roman"/>
          <w:i/>
          <w:iCs/>
          <w:color w:val="000000"/>
        </w:rPr>
        <w:t xml:space="preserve">Supra </w:t>
      </w:r>
      <w:r w:rsidR="00FB00E5">
        <w:rPr>
          <w:rFonts w:eastAsia="Times New Roman" w:cs="Times New Roman"/>
          <w:color w:val="000000"/>
        </w:rPr>
        <w:t xml:space="preserve">note </w:t>
      </w:r>
      <w:r w:rsidR="00FB00E5">
        <w:rPr>
          <w:rFonts w:eastAsia="Times New Roman" w:cs="Times New Roman"/>
          <w:color w:val="000000"/>
        </w:rPr>
        <w:fldChar w:fldCharType="begin"/>
      </w:r>
      <w:r w:rsidR="00FB00E5">
        <w:rPr>
          <w:rFonts w:eastAsia="Times New Roman" w:cs="Times New Roman"/>
          <w:color w:val="000000"/>
        </w:rPr>
        <w:instrText xml:space="preserve"> NOTEREF _Ref142253066 \h </w:instrText>
      </w:r>
      <w:r w:rsidR="00FB00E5">
        <w:rPr>
          <w:rFonts w:eastAsia="Times New Roman" w:cs="Times New Roman"/>
          <w:color w:val="000000"/>
        </w:rPr>
      </w:r>
      <w:r w:rsidR="00FB00E5">
        <w:rPr>
          <w:rFonts w:eastAsia="Times New Roman" w:cs="Times New Roman"/>
          <w:color w:val="000000"/>
        </w:rPr>
        <w:fldChar w:fldCharType="separate"/>
      </w:r>
      <w:r w:rsidR="00FB00E5">
        <w:rPr>
          <w:rFonts w:eastAsia="Times New Roman" w:cs="Times New Roman"/>
          <w:color w:val="000000"/>
        </w:rPr>
        <w:t>104</w:t>
      </w:r>
      <w:r w:rsidR="00FB00E5">
        <w:rPr>
          <w:rFonts w:eastAsia="Times New Roman" w:cs="Times New Roman"/>
          <w:color w:val="000000"/>
        </w:rPr>
        <w:fldChar w:fldCharType="end"/>
      </w:r>
      <w:r w:rsidR="00FB00E5">
        <w:rPr>
          <w:rFonts w:eastAsia="Times New Roman" w:cs="Times New Roman"/>
          <w:color w:val="000000"/>
        </w:rPr>
        <w:t>.</w:t>
      </w:r>
      <w:r w:rsidRPr="00BE4144">
        <w:rPr>
          <w:rFonts w:eastAsia="Times New Roman" w:cs="Times New Roman"/>
          <w:color w:val="000000"/>
        </w:rPr>
        <w:t xml:space="preserve"> </w:t>
      </w:r>
    </w:p>
  </w:footnote>
  <w:footnote w:id="162">
    <w:p w14:paraId="51894C63" w14:textId="6101FC5F"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63">
    <w:p w14:paraId="36C01174" w14:textId="5DB6FC88"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proofErr w:type="spellStart"/>
      <w:r w:rsidR="00EF239D">
        <w:rPr>
          <w:rFonts w:cs="Times New Roman"/>
        </w:rPr>
        <w:t>Dep’t</w:t>
      </w:r>
      <w:proofErr w:type="spellEnd"/>
      <w:r w:rsidR="00EF239D">
        <w:rPr>
          <w:rFonts w:cs="Times New Roman"/>
        </w:rPr>
        <w:t xml:space="preserve"> of Energy, </w:t>
      </w:r>
      <w:r w:rsidR="00EF239D" w:rsidRPr="00EC79E0">
        <w:rPr>
          <w:rFonts w:eastAsia="Times New Roman" w:cs="Times New Roman"/>
          <w:color w:val="222222"/>
          <w:szCs w:val="24"/>
        </w:rPr>
        <w:t>Codes and Standards Activities</w:t>
      </w:r>
      <w:r w:rsidR="00EF239D">
        <w:rPr>
          <w:rFonts w:eastAsia="Times New Roman" w:cs="Times New Roman"/>
          <w:color w:val="222222"/>
          <w:szCs w:val="24"/>
        </w:rPr>
        <w:t xml:space="preserve">, </w:t>
      </w:r>
      <w:hyperlink r:id="rId34" w:history="1">
        <w:r w:rsidR="00EF239D" w:rsidRPr="007571BA">
          <w:rPr>
            <w:rStyle w:val="Hyperlink"/>
            <w:rFonts w:eastAsia="Times New Roman" w:cs="Times New Roman"/>
            <w:szCs w:val="24"/>
          </w:rPr>
          <w:t>https://www.energy.gov/eere/fuelcells/codes-and-standards-activities</w:t>
        </w:r>
      </w:hyperlink>
      <w:r w:rsidR="00EF239D" w:rsidRPr="00EF239D">
        <w:rPr>
          <w:rFonts w:eastAsia="Times New Roman" w:cs="Times New Roman"/>
          <w:color w:val="222222"/>
          <w:szCs w:val="24"/>
        </w:rPr>
        <w:t>.</w:t>
      </w:r>
      <w:r w:rsidR="00EF239D">
        <w:rPr>
          <w:rFonts w:eastAsia="Times New Roman" w:cs="Times New Roman"/>
          <w:color w:val="222222"/>
          <w:szCs w:val="24"/>
        </w:rPr>
        <w:t xml:space="preserve"> </w:t>
      </w:r>
      <w:r w:rsidR="00EF239D" w:rsidRPr="00EF239D">
        <w:rPr>
          <w:rFonts w:eastAsia="Times New Roman" w:cs="Times New Roman"/>
          <w:color w:val="222222"/>
          <w:szCs w:val="24"/>
        </w:rPr>
        <w:t xml:space="preserve"> </w:t>
      </w:r>
      <w:r w:rsidR="00FB00E5">
        <w:rPr>
          <w:rFonts w:cs="Times New Roman"/>
        </w:rPr>
        <w:t xml:space="preserve"> </w:t>
      </w:r>
      <w:r w:rsidRPr="00BE4144">
        <w:rPr>
          <w:rFonts w:cs="Times New Roman"/>
        </w:rPr>
        <w:t xml:space="preserve"> </w:t>
      </w:r>
    </w:p>
  </w:footnote>
  <w:footnote w:id="164">
    <w:p w14:paraId="2D80B023" w14:textId="6AE9A596" w:rsidR="00346DCF" w:rsidRPr="00403D85" w:rsidRDefault="00346DCF" w:rsidP="00BE4144">
      <w:pPr>
        <w:pStyle w:val="FootnoteText"/>
        <w:jc w:val="both"/>
        <w:rPr>
          <w:rFonts w:eastAsia="Times New Roman" w:cs="Times New Roman"/>
          <w:smallCaps/>
          <w:color w:val="000000"/>
          <w:shd w:val="clear" w:color="auto" w:fill="FFFFFF"/>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shd w:val="clear" w:color="auto" w:fill="FFFFFF"/>
        </w:rPr>
        <w:t xml:space="preserve"> </w:t>
      </w:r>
      <w:r w:rsidR="00EF239D" w:rsidRPr="00403D85">
        <w:rPr>
          <w:rFonts w:eastAsia="Times New Roman" w:cs="Times New Roman"/>
          <w:smallCaps/>
          <w:color w:val="000000"/>
          <w:shd w:val="clear" w:color="auto" w:fill="FFFFFF"/>
        </w:rPr>
        <w:t xml:space="preserve">Carl </w:t>
      </w:r>
      <w:r w:rsidRPr="00403D85">
        <w:rPr>
          <w:rFonts w:eastAsia="Times New Roman" w:cs="Times New Roman"/>
          <w:smallCaps/>
          <w:color w:val="000000"/>
          <w:shd w:val="clear" w:color="auto" w:fill="FFFFFF"/>
        </w:rPr>
        <w:t xml:space="preserve">Rivkin, </w:t>
      </w:r>
      <w:r w:rsidR="00EF239D" w:rsidRPr="00403D85">
        <w:rPr>
          <w:rFonts w:eastAsia="Times New Roman" w:cs="Times New Roman"/>
          <w:smallCaps/>
          <w:color w:val="000000"/>
          <w:shd w:val="clear" w:color="auto" w:fill="FFFFFF"/>
        </w:rPr>
        <w:t xml:space="preserve">William </w:t>
      </w:r>
      <w:r w:rsidRPr="00403D85">
        <w:rPr>
          <w:rFonts w:eastAsia="Times New Roman" w:cs="Times New Roman"/>
          <w:smallCaps/>
          <w:color w:val="000000"/>
          <w:shd w:val="clear" w:color="auto" w:fill="FFFFFF"/>
        </w:rPr>
        <w:t xml:space="preserve">Buttner &amp; </w:t>
      </w:r>
      <w:r w:rsidR="00EF239D" w:rsidRPr="00403D85">
        <w:rPr>
          <w:rFonts w:eastAsia="Times New Roman" w:cs="Times New Roman"/>
          <w:smallCaps/>
          <w:color w:val="000000"/>
          <w:shd w:val="clear" w:color="auto" w:fill="FFFFFF"/>
        </w:rPr>
        <w:t xml:space="preserve">Robert </w:t>
      </w:r>
      <w:r w:rsidRPr="00403D85">
        <w:rPr>
          <w:rFonts w:eastAsia="Times New Roman" w:cs="Times New Roman"/>
          <w:smallCaps/>
          <w:color w:val="000000"/>
          <w:shd w:val="clear" w:color="auto" w:fill="FFFFFF"/>
        </w:rPr>
        <w:t>Burgess</w:t>
      </w:r>
      <w:r w:rsidR="00EF239D" w:rsidRPr="00403D85">
        <w:rPr>
          <w:rFonts w:eastAsia="Times New Roman" w:cs="Times New Roman"/>
          <w:smallCaps/>
          <w:color w:val="000000"/>
          <w:shd w:val="clear" w:color="auto" w:fill="FFFFFF"/>
        </w:rPr>
        <w:t xml:space="preserve">, </w:t>
      </w:r>
      <w:proofErr w:type="spellStart"/>
      <w:r w:rsidR="00EF239D" w:rsidRPr="00403D85">
        <w:rPr>
          <w:rFonts w:eastAsia="Times New Roman" w:cs="Times New Roman"/>
          <w:smallCaps/>
          <w:color w:val="000000"/>
          <w:shd w:val="clear" w:color="auto" w:fill="FFFFFF"/>
        </w:rPr>
        <w:t>Nat’l</w:t>
      </w:r>
      <w:proofErr w:type="spellEnd"/>
      <w:r w:rsidR="00EF239D" w:rsidRPr="00403D85">
        <w:rPr>
          <w:rFonts w:eastAsia="Times New Roman" w:cs="Times New Roman"/>
          <w:smallCaps/>
          <w:color w:val="000000"/>
          <w:shd w:val="clear" w:color="auto" w:fill="FFFFFF"/>
        </w:rPr>
        <w:t xml:space="preserve"> Renewable Energy </w:t>
      </w:r>
      <w:proofErr w:type="spellStart"/>
      <w:r w:rsidR="00EF239D" w:rsidRPr="00403D85">
        <w:rPr>
          <w:rFonts w:eastAsia="Times New Roman" w:cs="Times New Roman"/>
          <w:smallCaps/>
          <w:color w:val="000000"/>
          <w:shd w:val="clear" w:color="auto" w:fill="FFFFFF"/>
        </w:rPr>
        <w:t>Lab’y</w:t>
      </w:r>
      <w:proofErr w:type="spellEnd"/>
      <w:r w:rsidR="00EF239D" w:rsidRPr="00403D85">
        <w:rPr>
          <w:rFonts w:eastAsia="Times New Roman" w:cs="Times New Roman"/>
          <w:smallCaps/>
          <w:color w:val="000000"/>
          <w:shd w:val="clear" w:color="auto" w:fill="FFFFFF"/>
        </w:rPr>
        <w:t xml:space="preserve">, </w:t>
      </w:r>
      <w:r w:rsidR="00EF239D" w:rsidRPr="00403D85">
        <w:rPr>
          <w:rFonts w:eastAsia="Times New Roman" w:cs="Times New Roman"/>
          <w:smallCaps/>
          <w:color w:val="222222"/>
          <w:szCs w:val="24"/>
          <w:shd w:val="clear" w:color="auto" w:fill="FFFFFF"/>
        </w:rPr>
        <w:t>Guide to Permitting Hydrogen Motor Fuel Dispensing Facilities</w:t>
      </w:r>
      <w:r w:rsidRPr="00403D85">
        <w:rPr>
          <w:rFonts w:eastAsia="Times New Roman" w:cs="Times New Roman"/>
          <w:smallCaps/>
          <w:color w:val="000000"/>
          <w:shd w:val="clear" w:color="auto" w:fill="FFFFFF"/>
        </w:rPr>
        <w:t xml:space="preserve"> </w:t>
      </w:r>
      <w:r w:rsidR="00EF239D" w:rsidRPr="00403D85">
        <w:rPr>
          <w:rFonts w:eastAsia="Times New Roman" w:cs="Times New Roman"/>
          <w:smallCaps/>
          <w:color w:val="000000"/>
          <w:shd w:val="clear" w:color="auto" w:fill="FFFFFF"/>
        </w:rPr>
        <w:t>(</w:t>
      </w:r>
      <w:r w:rsidRPr="00403D85">
        <w:rPr>
          <w:rFonts w:eastAsia="Times New Roman" w:cs="Times New Roman"/>
          <w:smallCaps/>
          <w:color w:val="000000"/>
          <w:shd w:val="clear" w:color="auto" w:fill="FFFFFF"/>
        </w:rPr>
        <w:t>2016</w:t>
      </w:r>
      <w:r w:rsidR="00EF239D" w:rsidRPr="00403D85">
        <w:rPr>
          <w:rFonts w:eastAsia="Times New Roman" w:cs="Times New Roman"/>
          <w:smallCaps/>
          <w:color w:val="000000"/>
          <w:shd w:val="clear" w:color="auto" w:fill="FFFFFF"/>
        </w:rPr>
        <w:t>)</w:t>
      </w:r>
      <w:r w:rsidRPr="00BE4144">
        <w:rPr>
          <w:rFonts w:eastAsia="Times New Roman" w:cs="Times New Roman"/>
          <w:color w:val="000000"/>
          <w:shd w:val="clear" w:color="auto" w:fill="FFFFFF"/>
        </w:rPr>
        <w:t xml:space="preserve">; </w:t>
      </w:r>
      <w:proofErr w:type="spellStart"/>
      <w:r w:rsidR="00EF239D" w:rsidRPr="00403D85">
        <w:rPr>
          <w:rFonts w:eastAsia="Times New Roman" w:cs="Times New Roman"/>
          <w:smallCaps/>
          <w:color w:val="000000"/>
          <w:shd w:val="clear" w:color="auto" w:fill="FFFFFF"/>
        </w:rPr>
        <w:t>Dep</w:t>
      </w:r>
      <w:r w:rsidR="00AB726F">
        <w:rPr>
          <w:rFonts w:eastAsia="Times New Roman" w:cs="Times New Roman"/>
          <w:smallCaps/>
          <w:color w:val="000000"/>
          <w:shd w:val="clear" w:color="auto" w:fill="FFFFFF"/>
        </w:rPr>
        <w:t>’t</w:t>
      </w:r>
      <w:proofErr w:type="spellEnd"/>
      <w:r w:rsidR="00EF239D" w:rsidRPr="00403D85">
        <w:rPr>
          <w:rFonts w:eastAsia="Times New Roman" w:cs="Times New Roman"/>
          <w:smallCaps/>
          <w:color w:val="000000"/>
          <w:shd w:val="clear" w:color="auto" w:fill="FFFFFF"/>
        </w:rPr>
        <w:t xml:space="preserve"> of Energy, </w:t>
      </w:r>
      <w:r w:rsidR="00AB726F" w:rsidRPr="00403D85">
        <w:rPr>
          <w:rFonts w:eastAsia="Times New Roman" w:cs="Times New Roman"/>
          <w:smallCaps/>
          <w:color w:val="222222"/>
          <w:szCs w:val="24"/>
        </w:rPr>
        <w:t>Hydrogen and Fuel Cell Technologies Office Webinars</w:t>
      </w:r>
      <w:r w:rsidR="00AB726F">
        <w:rPr>
          <w:rFonts w:eastAsia="Times New Roman" w:cs="Times New Roman"/>
          <w:color w:val="222222"/>
          <w:szCs w:val="24"/>
        </w:rPr>
        <w:t xml:space="preserve"> (2022) </w:t>
      </w:r>
      <w:r w:rsidR="00AB726F" w:rsidRPr="00EC79E0">
        <w:rPr>
          <w:rFonts w:eastAsia="Times New Roman" w:cs="Times New Roman"/>
          <w:color w:val="000000"/>
          <w:szCs w:val="24"/>
        </w:rPr>
        <w:t>https://www.energy.gov/eere/fuelcells/hydrogen-and-fuel-cell-technologies-office-webinars</w:t>
      </w:r>
      <w:r w:rsidRPr="00BE4144">
        <w:rPr>
          <w:rFonts w:eastAsia="Times New Roman" w:cs="Times New Roman"/>
          <w:color w:val="000000"/>
          <w:shd w:val="clear" w:color="auto" w:fill="FFFFFF"/>
        </w:rPr>
        <w:t xml:space="preserve">; </w:t>
      </w:r>
      <w:proofErr w:type="spellStart"/>
      <w:r w:rsidR="00AB726F" w:rsidRPr="00403D85">
        <w:rPr>
          <w:rFonts w:eastAsia="Times New Roman" w:cs="Times New Roman"/>
          <w:smallCaps/>
          <w:color w:val="000000"/>
          <w:shd w:val="clear" w:color="auto" w:fill="FFFFFF"/>
        </w:rPr>
        <w:t>Nat’l</w:t>
      </w:r>
      <w:proofErr w:type="spellEnd"/>
      <w:r w:rsidR="00AB726F" w:rsidRPr="00403D85">
        <w:rPr>
          <w:rFonts w:eastAsia="Times New Roman" w:cs="Times New Roman"/>
          <w:smallCaps/>
          <w:color w:val="000000"/>
          <w:shd w:val="clear" w:color="auto" w:fill="FFFFFF"/>
        </w:rPr>
        <w:t xml:space="preserve"> Renewable Energy </w:t>
      </w:r>
      <w:proofErr w:type="spellStart"/>
      <w:r w:rsidR="00AB726F" w:rsidRPr="00403D85">
        <w:rPr>
          <w:rFonts w:eastAsia="Times New Roman" w:cs="Times New Roman"/>
          <w:smallCaps/>
          <w:color w:val="000000"/>
          <w:shd w:val="clear" w:color="auto" w:fill="FFFFFF"/>
        </w:rPr>
        <w:t>Lab’y</w:t>
      </w:r>
      <w:proofErr w:type="spellEnd"/>
      <w:r w:rsidR="00AB726F" w:rsidRPr="00403D85">
        <w:rPr>
          <w:rFonts w:eastAsia="Times New Roman" w:cs="Times New Roman"/>
          <w:smallCaps/>
          <w:color w:val="000000"/>
          <w:shd w:val="clear" w:color="auto" w:fill="FFFFFF"/>
        </w:rPr>
        <w:t xml:space="preserve"> </w:t>
      </w:r>
      <w:r w:rsidR="00AB726F" w:rsidRPr="00403D85">
        <w:rPr>
          <w:rFonts w:eastAsia="Times New Roman" w:cs="Times New Roman"/>
          <w:smallCaps/>
          <w:color w:val="222222"/>
          <w:szCs w:val="24"/>
          <w:shd w:val="clear" w:color="auto" w:fill="FFFFFF"/>
        </w:rPr>
        <w:t>Codes &amp; Standards–Permitting Tools</w:t>
      </w:r>
      <w:r w:rsidR="00AB726F" w:rsidRPr="00BE4144">
        <w:rPr>
          <w:rFonts w:eastAsia="Times New Roman" w:cs="Times New Roman"/>
          <w:color w:val="000000"/>
          <w:shd w:val="clear" w:color="auto" w:fill="FFFFFF"/>
        </w:rPr>
        <w:t xml:space="preserve"> </w:t>
      </w:r>
      <w:r w:rsidR="00AB726F">
        <w:rPr>
          <w:rFonts w:eastAsia="Times New Roman" w:cs="Times New Roman"/>
          <w:color w:val="000000"/>
          <w:shd w:val="clear" w:color="auto" w:fill="FFFFFF"/>
        </w:rPr>
        <w:t>(</w:t>
      </w:r>
      <w:r w:rsidRPr="00BE4144">
        <w:rPr>
          <w:rFonts w:eastAsia="Times New Roman" w:cs="Times New Roman"/>
          <w:color w:val="000000"/>
          <w:shd w:val="clear" w:color="auto" w:fill="FFFFFF"/>
        </w:rPr>
        <w:t>2022)</w:t>
      </w:r>
      <w:r w:rsidR="00AB726F">
        <w:rPr>
          <w:rFonts w:eastAsia="Times New Roman" w:cs="Times New Roman"/>
          <w:color w:val="000000"/>
          <w:shd w:val="clear" w:color="auto" w:fill="FFFFFF"/>
        </w:rPr>
        <w:t xml:space="preserve">, </w:t>
      </w:r>
      <w:proofErr w:type="gramStart"/>
      <w:r w:rsidR="00AB726F" w:rsidRPr="00EC79E0">
        <w:rPr>
          <w:rFonts w:eastAsia="Times New Roman" w:cs="Times New Roman"/>
          <w:color w:val="222222"/>
          <w:szCs w:val="24"/>
          <w:shd w:val="clear" w:color="auto" w:fill="FFFFFF"/>
        </w:rPr>
        <w:t>https://h2tools.org/codes-standards/codes-standards-permitting-tools.</w:t>
      </w:r>
      <w:r w:rsidRPr="00BE4144">
        <w:rPr>
          <w:rFonts w:eastAsia="Times New Roman" w:cs="Times New Roman"/>
          <w:color w:val="000000"/>
          <w:shd w:val="clear" w:color="auto" w:fill="FFFFFF"/>
        </w:rPr>
        <w:t>.</w:t>
      </w:r>
      <w:proofErr w:type="gramEnd"/>
    </w:p>
  </w:footnote>
  <w:footnote w:id="165">
    <w:p w14:paraId="30D8938C" w14:textId="20824E1A"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proofErr w:type="spellStart"/>
      <w:r w:rsidR="00AB726F" w:rsidRPr="00403D85">
        <w:rPr>
          <w:rFonts w:eastAsia="Times New Roman" w:cs="Times New Roman"/>
          <w:smallCaps/>
          <w:color w:val="000000"/>
        </w:rPr>
        <w:t>Dep’t</w:t>
      </w:r>
      <w:proofErr w:type="spellEnd"/>
      <w:r w:rsidR="00AB726F" w:rsidRPr="00403D85">
        <w:rPr>
          <w:rFonts w:eastAsia="Times New Roman" w:cs="Times New Roman"/>
          <w:smallCaps/>
          <w:color w:val="000000"/>
        </w:rPr>
        <w:t xml:space="preserve"> of Energy, Regulations, Guidelines, and Codes and Standards</w:t>
      </w:r>
      <w:r w:rsidR="00AB726F">
        <w:rPr>
          <w:rFonts w:eastAsia="Times New Roman" w:cs="Times New Roman"/>
          <w:color w:val="000000"/>
        </w:rPr>
        <w:t xml:space="preserve"> (2022), </w:t>
      </w:r>
      <w:r w:rsidR="00AB726F" w:rsidRPr="00EC79E0">
        <w:rPr>
          <w:rFonts w:eastAsia="Times New Roman" w:cs="Times New Roman"/>
          <w:color w:val="222222"/>
          <w:szCs w:val="24"/>
        </w:rPr>
        <w:t>https://www.energy.gov/eere/fuelcells/regulations-guidelines-and-codes-and-standards.</w:t>
      </w:r>
      <w:r w:rsidR="00AB726F">
        <w:rPr>
          <w:rFonts w:eastAsia="Times New Roman" w:cs="Times New Roman"/>
          <w:color w:val="222222"/>
          <w:szCs w:val="24"/>
        </w:rPr>
        <w:t xml:space="preserve"> </w:t>
      </w:r>
      <w:r w:rsidR="00AB726F" w:rsidRPr="00BE4144" w:rsidDel="00AB726F">
        <w:rPr>
          <w:rFonts w:eastAsia="Times New Roman" w:cs="Times New Roman"/>
          <w:color w:val="000000"/>
        </w:rPr>
        <w:t xml:space="preserve"> </w:t>
      </w:r>
    </w:p>
  </w:footnote>
  <w:footnote w:id="166">
    <w:p w14:paraId="6CC2B5BC" w14:textId="52E622D2" w:rsidR="00346DCF" w:rsidRPr="00BE4144" w:rsidRDefault="00346DC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proofErr w:type="spellStart"/>
      <w:r w:rsidRPr="00A16951">
        <w:rPr>
          <w:rFonts w:eastAsia="Times New Roman" w:cs="Times New Roman"/>
          <w:color w:val="000000"/>
        </w:rPr>
        <w:t>Koehr</w:t>
      </w:r>
      <w:proofErr w:type="spellEnd"/>
      <w:r w:rsidR="00A16951">
        <w:rPr>
          <w:rFonts w:eastAsia="Times New Roman" w:cs="Times New Roman"/>
          <w:color w:val="000000"/>
        </w:rPr>
        <w:t xml:space="preserve">, </w:t>
      </w:r>
      <w:r w:rsidR="00A16951">
        <w:rPr>
          <w:rFonts w:eastAsia="Times New Roman" w:cs="Times New Roman"/>
          <w:i/>
          <w:iCs/>
          <w:color w:val="000000"/>
        </w:rPr>
        <w:t xml:space="preserve">supra </w:t>
      </w:r>
      <w:r w:rsidR="00A16951">
        <w:rPr>
          <w:rFonts w:eastAsia="Times New Roman" w:cs="Times New Roman"/>
          <w:color w:val="000000"/>
        </w:rPr>
        <w:t xml:space="preserve">note </w:t>
      </w:r>
      <w:r w:rsidR="00A16951">
        <w:rPr>
          <w:rFonts w:eastAsia="Times New Roman" w:cs="Times New Roman"/>
          <w:color w:val="000000"/>
        </w:rPr>
        <w:fldChar w:fldCharType="begin"/>
      </w:r>
      <w:r w:rsidR="00A16951">
        <w:rPr>
          <w:rFonts w:eastAsia="Times New Roman" w:cs="Times New Roman"/>
          <w:color w:val="000000"/>
        </w:rPr>
        <w:instrText xml:space="preserve"> NOTEREF _Ref142252604 \h </w:instrText>
      </w:r>
      <w:r w:rsidR="00A16951">
        <w:rPr>
          <w:rFonts w:eastAsia="Times New Roman" w:cs="Times New Roman"/>
          <w:color w:val="000000"/>
        </w:rPr>
      </w:r>
      <w:r w:rsidR="00A16951">
        <w:rPr>
          <w:rFonts w:eastAsia="Times New Roman" w:cs="Times New Roman"/>
          <w:color w:val="000000"/>
        </w:rPr>
        <w:fldChar w:fldCharType="separate"/>
      </w:r>
      <w:r w:rsidR="00A16951">
        <w:rPr>
          <w:rFonts w:eastAsia="Times New Roman" w:cs="Times New Roman"/>
          <w:color w:val="000000"/>
        </w:rPr>
        <w:t>86</w:t>
      </w:r>
      <w:r w:rsidR="00A16951">
        <w:rPr>
          <w:rFonts w:eastAsia="Times New Roman" w:cs="Times New Roman"/>
          <w:color w:val="000000"/>
        </w:rPr>
        <w:fldChar w:fldCharType="end"/>
      </w:r>
      <w:r w:rsidR="00A16951">
        <w:rPr>
          <w:rFonts w:eastAsia="Times New Roman" w:cs="Times New Roman"/>
          <w:color w:val="000000"/>
        </w:rPr>
        <w:t>.</w:t>
      </w:r>
    </w:p>
  </w:footnote>
  <w:footnote w:id="167">
    <w:p w14:paraId="323251F1" w14:textId="6C6324BF"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A16951">
        <w:rPr>
          <w:rFonts w:eastAsia="Times New Roman" w:cs="Times New Roman"/>
          <w:color w:val="000000"/>
        </w:rPr>
        <w:t xml:space="preserve">Daniel </w:t>
      </w:r>
      <w:r w:rsidRPr="00BE4144">
        <w:rPr>
          <w:rFonts w:eastAsia="Times New Roman" w:cs="Times New Roman"/>
          <w:color w:val="000000"/>
        </w:rPr>
        <w:t>Benoliel</w:t>
      </w:r>
      <w:r w:rsidR="00A16951">
        <w:rPr>
          <w:rFonts w:eastAsia="Times New Roman" w:cs="Times New Roman"/>
          <w:color w:val="000000"/>
        </w:rPr>
        <w:t xml:space="preserve">, </w:t>
      </w:r>
      <w:r w:rsidR="00A16951" w:rsidRPr="00403D85">
        <w:rPr>
          <w:rFonts w:eastAsia="Times New Roman" w:cs="Times New Roman"/>
          <w:i/>
          <w:iCs/>
          <w:color w:val="222222"/>
          <w:szCs w:val="24"/>
          <w:shd w:val="clear" w:color="auto" w:fill="FFFFFF"/>
        </w:rPr>
        <w:t>Cyberspace Technological Standardization: An Institutional Theory Retrospective</w:t>
      </w:r>
      <w:r w:rsidR="00A16951">
        <w:rPr>
          <w:rFonts w:eastAsia="Times New Roman" w:cs="Times New Roman"/>
          <w:color w:val="000000"/>
        </w:rPr>
        <w:t xml:space="preserve">, 18 </w:t>
      </w:r>
      <w:r w:rsidR="00A16951" w:rsidRPr="00403D85">
        <w:rPr>
          <w:rFonts w:eastAsia="Times New Roman" w:cs="Times New Roman"/>
          <w:smallCaps/>
          <w:color w:val="000000"/>
        </w:rPr>
        <w:t>Berkeley Tech. L. J.</w:t>
      </w:r>
      <w:r w:rsidR="00A16951">
        <w:rPr>
          <w:rFonts w:eastAsia="Times New Roman" w:cs="Times New Roman"/>
          <w:color w:val="000000"/>
        </w:rPr>
        <w:t xml:space="preserve"> 1259, 1285 (</w:t>
      </w:r>
      <w:r w:rsidRPr="00BE4144">
        <w:rPr>
          <w:rFonts w:eastAsia="Times New Roman" w:cs="Times New Roman"/>
          <w:color w:val="000000"/>
        </w:rPr>
        <w:t>2003</w:t>
      </w:r>
      <w:r w:rsidR="00A16951">
        <w:rPr>
          <w:rFonts w:eastAsia="Times New Roman" w:cs="Times New Roman"/>
          <w:color w:val="000000"/>
        </w:rPr>
        <w:t>)</w:t>
      </w:r>
      <w:r w:rsidRPr="00BE4144">
        <w:rPr>
          <w:rFonts w:eastAsia="Times New Roman" w:cs="Times New Roman"/>
          <w:color w:val="000000"/>
        </w:rPr>
        <w:t>; Maher</w:t>
      </w:r>
      <w:r w:rsidR="00A16951">
        <w:rPr>
          <w:rFonts w:eastAsia="Times New Roman" w:cs="Times New Roman"/>
          <w:color w:val="000000"/>
        </w:rPr>
        <w:t xml:space="preserve">, </w:t>
      </w:r>
      <w:r w:rsidR="00A16951">
        <w:rPr>
          <w:rFonts w:eastAsia="Times New Roman" w:cs="Times New Roman"/>
          <w:i/>
          <w:iCs/>
          <w:color w:val="000000"/>
        </w:rPr>
        <w:t xml:space="preserve">supra </w:t>
      </w:r>
      <w:r w:rsidR="00A16951">
        <w:rPr>
          <w:rFonts w:eastAsia="Times New Roman" w:cs="Times New Roman"/>
          <w:color w:val="000000"/>
        </w:rPr>
        <w:t xml:space="preserve">note </w:t>
      </w:r>
      <w:r w:rsidR="00A16951">
        <w:rPr>
          <w:rFonts w:eastAsia="Times New Roman" w:cs="Times New Roman"/>
          <w:color w:val="000000"/>
        </w:rPr>
        <w:fldChar w:fldCharType="begin"/>
      </w:r>
      <w:r w:rsidR="00A16951">
        <w:rPr>
          <w:rFonts w:eastAsia="Times New Roman" w:cs="Times New Roman"/>
          <w:color w:val="000000"/>
        </w:rPr>
        <w:instrText xml:space="preserve"> NOTEREF _Ref142253893 \h </w:instrText>
      </w:r>
      <w:r w:rsidR="00A16951">
        <w:rPr>
          <w:rFonts w:eastAsia="Times New Roman" w:cs="Times New Roman"/>
          <w:color w:val="000000"/>
        </w:rPr>
      </w:r>
      <w:r w:rsidR="00A16951">
        <w:rPr>
          <w:rFonts w:eastAsia="Times New Roman" w:cs="Times New Roman"/>
          <w:color w:val="000000"/>
        </w:rPr>
        <w:fldChar w:fldCharType="separate"/>
      </w:r>
      <w:r w:rsidR="00A16951">
        <w:rPr>
          <w:rFonts w:eastAsia="Times New Roman" w:cs="Times New Roman"/>
          <w:color w:val="000000"/>
        </w:rPr>
        <w:t>120</w:t>
      </w:r>
      <w:r w:rsidR="00A16951">
        <w:rPr>
          <w:rFonts w:eastAsia="Times New Roman" w:cs="Times New Roman"/>
          <w:color w:val="000000"/>
        </w:rPr>
        <w:fldChar w:fldCharType="end"/>
      </w:r>
      <w:r w:rsidR="00A16951">
        <w:rPr>
          <w:rFonts w:eastAsia="Times New Roman" w:cs="Times New Roman"/>
          <w:color w:val="000000"/>
        </w:rPr>
        <w:t xml:space="preserve">, at </w:t>
      </w:r>
      <w:r w:rsidRPr="00BE4144">
        <w:rPr>
          <w:rFonts w:eastAsia="Times New Roman" w:cs="Times New Roman"/>
          <w:color w:val="000000"/>
        </w:rPr>
        <w:t>4).</w:t>
      </w:r>
    </w:p>
  </w:footnote>
  <w:footnote w:id="168">
    <w:p w14:paraId="0CED1515" w14:textId="3285AF9E"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A16951">
        <w:rPr>
          <w:rFonts w:eastAsia="Times New Roman" w:cs="Times New Roman"/>
          <w:color w:val="000000"/>
        </w:rPr>
        <w:t xml:space="preserve">Llewellyn J. </w:t>
      </w:r>
      <w:r w:rsidRPr="00BE4144">
        <w:rPr>
          <w:rFonts w:eastAsia="Times New Roman" w:cs="Times New Roman"/>
          <w:color w:val="000000"/>
        </w:rPr>
        <w:t>Gibbons</w:t>
      </w:r>
      <w:r w:rsidR="00A16951">
        <w:rPr>
          <w:rFonts w:eastAsia="Times New Roman" w:cs="Times New Roman"/>
          <w:color w:val="000000"/>
        </w:rPr>
        <w:t xml:space="preserve">, </w:t>
      </w:r>
      <w:r w:rsidR="00A16951" w:rsidRPr="00403D85">
        <w:rPr>
          <w:rFonts w:eastAsia="Times New Roman" w:cs="Times New Roman"/>
          <w:i/>
          <w:iCs/>
          <w:color w:val="222222"/>
          <w:szCs w:val="24"/>
          <w:shd w:val="clear" w:color="auto" w:fill="FFFFFF"/>
        </w:rPr>
        <w:t>No Regulation, Government Regulation, or Self-Regulation: Social Enforcement or Social Contracting for Governance in Cyberspace</w:t>
      </w:r>
      <w:r w:rsidR="00A16951">
        <w:rPr>
          <w:rFonts w:eastAsia="Times New Roman" w:cs="Times New Roman"/>
          <w:color w:val="222222"/>
          <w:szCs w:val="24"/>
          <w:shd w:val="clear" w:color="auto" w:fill="FFFFFF"/>
        </w:rPr>
        <w:t>, 6 Cornell J. L. &amp;</w:t>
      </w:r>
      <w:r w:rsidR="005F58FB">
        <w:rPr>
          <w:rFonts w:eastAsia="Times New Roman" w:cs="Times New Roman"/>
          <w:color w:val="222222"/>
          <w:szCs w:val="24"/>
          <w:shd w:val="clear" w:color="auto" w:fill="FFFFFF"/>
        </w:rPr>
        <w:t xml:space="preserve"> Pub. </w:t>
      </w:r>
      <w:proofErr w:type="spellStart"/>
      <w:r w:rsidR="005F58FB">
        <w:rPr>
          <w:rFonts w:eastAsia="Times New Roman" w:cs="Times New Roman"/>
          <w:color w:val="222222"/>
          <w:szCs w:val="24"/>
          <w:shd w:val="clear" w:color="auto" w:fill="FFFFFF"/>
        </w:rPr>
        <w:t>Pol’y</w:t>
      </w:r>
      <w:proofErr w:type="spellEnd"/>
      <w:r w:rsidR="005F58FB">
        <w:rPr>
          <w:rFonts w:eastAsia="Times New Roman" w:cs="Times New Roman"/>
          <w:color w:val="222222"/>
          <w:szCs w:val="24"/>
          <w:shd w:val="clear" w:color="auto" w:fill="FFFFFF"/>
        </w:rPr>
        <w:t xml:space="preserve"> 475, 509</w:t>
      </w:r>
      <w:r w:rsidRPr="00BE4144">
        <w:rPr>
          <w:rFonts w:eastAsia="Times New Roman" w:cs="Times New Roman"/>
          <w:color w:val="000000"/>
        </w:rPr>
        <w:t xml:space="preserve"> </w:t>
      </w:r>
      <w:r w:rsidR="005F58FB">
        <w:rPr>
          <w:rFonts w:eastAsia="Times New Roman" w:cs="Times New Roman"/>
          <w:color w:val="000000"/>
        </w:rPr>
        <w:t>(</w:t>
      </w:r>
      <w:r w:rsidRPr="00BE4144">
        <w:rPr>
          <w:rFonts w:eastAsia="Times New Roman" w:cs="Times New Roman"/>
          <w:color w:val="000000"/>
        </w:rPr>
        <w:t>1997)</w:t>
      </w:r>
      <w:r w:rsidR="005F58FB">
        <w:rPr>
          <w:rFonts w:eastAsia="Times New Roman" w:cs="Times New Roman"/>
          <w:color w:val="000000"/>
        </w:rPr>
        <w:t>.</w:t>
      </w:r>
    </w:p>
  </w:footnote>
  <w:footnote w:id="169">
    <w:p w14:paraId="0AE44AAA" w14:textId="527FDCF8"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5F58FB" w:rsidRPr="00403D85">
        <w:rPr>
          <w:rFonts w:eastAsia="Times New Roman" w:cs="Times New Roman"/>
          <w:smallCaps/>
          <w:color w:val="000000"/>
        </w:rPr>
        <w:t xml:space="preserve">William </w:t>
      </w:r>
      <w:r w:rsidRPr="00403D85">
        <w:rPr>
          <w:rFonts w:eastAsia="Times New Roman" w:cs="Times New Roman"/>
          <w:smallCaps/>
          <w:color w:val="000000"/>
        </w:rPr>
        <w:t xml:space="preserve">Clinton &amp; </w:t>
      </w:r>
      <w:r w:rsidR="005F58FB" w:rsidRPr="00403D85">
        <w:rPr>
          <w:rFonts w:eastAsia="Times New Roman" w:cs="Times New Roman"/>
          <w:smallCaps/>
          <w:color w:val="000000"/>
        </w:rPr>
        <w:t xml:space="preserve">Al </w:t>
      </w:r>
      <w:r w:rsidRPr="00403D85">
        <w:rPr>
          <w:rFonts w:eastAsia="Times New Roman" w:cs="Times New Roman"/>
          <w:smallCaps/>
          <w:color w:val="000000"/>
        </w:rPr>
        <w:t>Gore</w:t>
      </w:r>
      <w:r w:rsidR="005F58FB" w:rsidRPr="00403D85">
        <w:rPr>
          <w:rFonts w:eastAsia="Times New Roman" w:cs="Times New Roman"/>
          <w:smallCaps/>
          <w:color w:val="000000"/>
        </w:rPr>
        <w:t xml:space="preserve">, </w:t>
      </w:r>
      <w:r w:rsidR="005F58FB" w:rsidRPr="00403D85">
        <w:rPr>
          <w:rFonts w:eastAsia="Times New Roman" w:cs="Times New Roman"/>
          <w:smallCaps/>
          <w:color w:val="222222"/>
          <w:szCs w:val="24"/>
        </w:rPr>
        <w:t>A Framework for Global Electronic Commerce</w:t>
      </w:r>
      <w:r w:rsidRPr="00BE4144">
        <w:rPr>
          <w:rFonts w:eastAsia="Times New Roman" w:cs="Times New Roman"/>
          <w:color w:val="000000"/>
        </w:rPr>
        <w:t xml:space="preserve"> </w:t>
      </w:r>
      <w:r w:rsidR="005F58FB">
        <w:rPr>
          <w:rFonts w:eastAsia="Times New Roman" w:cs="Times New Roman"/>
          <w:color w:val="000000"/>
        </w:rPr>
        <w:t>(</w:t>
      </w:r>
      <w:r w:rsidRPr="00BE4144">
        <w:rPr>
          <w:rFonts w:eastAsia="Times New Roman" w:cs="Times New Roman"/>
          <w:color w:val="000000"/>
        </w:rPr>
        <w:t>1997)</w:t>
      </w:r>
      <w:r w:rsidR="005F58FB">
        <w:rPr>
          <w:rFonts w:eastAsia="Times New Roman" w:cs="Times New Roman"/>
          <w:color w:val="000000"/>
        </w:rPr>
        <w:t>.</w:t>
      </w:r>
    </w:p>
  </w:footnote>
  <w:footnote w:id="170">
    <w:p w14:paraId="489A683F" w14:textId="3869B7D3"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Lessig</w:t>
      </w:r>
      <w:r w:rsidR="005F58FB">
        <w:rPr>
          <w:rFonts w:eastAsia="Times New Roman" w:cs="Times New Roman"/>
          <w:color w:val="000000"/>
        </w:rPr>
        <w:t xml:space="preserve">, </w:t>
      </w:r>
      <w:r w:rsidR="005F58FB">
        <w:rPr>
          <w:rFonts w:eastAsia="Times New Roman" w:cs="Times New Roman"/>
          <w:i/>
          <w:iCs/>
          <w:color w:val="000000"/>
        </w:rPr>
        <w:t xml:space="preserve">supra </w:t>
      </w:r>
      <w:r w:rsidR="005F58FB">
        <w:rPr>
          <w:rFonts w:eastAsia="Times New Roman" w:cs="Times New Roman"/>
          <w:color w:val="000000"/>
        </w:rPr>
        <w:t xml:space="preserve">note </w:t>
      </w:r>
      <w:r w:rsidR="005F58FB">
        <w:rPr>
          <w:rFonts w:eastAsia="Times New Roman" w:cs="Times New Roman"/>
          <w:color w:val="000000"/>
        </w:rPr>
        <w:fldChar w:fldCharType="begin"/>
      </w:r>
      <w:r w:rsidR="005F58FB">
        <w:rPr>
          <w:rFonts w:eastAsia="Times New Roman" w:cs="Times New Roman"/>
          <w:color w:val="000000"/>
        </w:rPr>
        <w:instrText xml:space="preserve"> NOTEREF _Ref142237925 \h </w:instrText>
      </w:r>
      <w:r w:rsidR="005F58FB">
        <w:rPr>
          <w:rFonts w:eastAsia="Times New Roman" w:cs="Times New Roman"/>
          <w:color w:val="000000"/>
        </w:rPr>
      </w:r>
      <w:r w:rsidR="005F58FB">
        <w:rPr>
          <w:rFonts w:eastAsia="Times New Roman" w:cs="Times New Roman"/>
          <w:color w:val="000000"/>
        </w:rPr>
        <w:fldChar w:fldCharType="separate"/>
      </w:r>
      <w:r w:rsidR="005F58FB">
        <w:rPr>
          <w:rFonts w:eastAsia="Times New Roman" w:cs="Times New Roman"/>
          <w:color w:val="000000"/>
        </w:rPr>
        <w:t>96</w:t>
      </w:r>
      <w:r w:rsidR="005F58FB">
        <w:rPr>
          <w:rFonts w:eastAsia="Times New Roman" w:cs="Times New Roman"/>
          <w:color w:val="000000"/>
        </w:rPr>
        <w:fldChar w:fldCharType="end"/>
      </w:r>
      <w:r w:rsidRPr="00BE4144">
        <w:rPr>
          <w:rFonts w:eastAsia="Times New Roman" w:cs="Times New Roman"/>
          <w:color w:val="000000"/>
        </w:rPr>
        <w:t xml:space="preserve">; </w:t>
      </w:r>
      <w:r w:rsidR="005F58FB">
        <w:rPr>
          <w:rFonts w:eastAsia="Times New Roman" w:cs="Times New Roman"/>
          <w:color w:val="000000"/>
        </w:rPr>
        <w:t xml:space="preserve">Neil W. </w:t>
      </w:r>
      <w:r w:rsidRPr="00BE4144">
        <w:rPr>
          <w:rFonts w:eastAsia="Times New Roman" w:cs="Times New Roman"/>
          <w:color w:val="000000"/>
        </w:rPr>
        <w:t>Netanel</w:t>
      </w:r>
      <w:r w:rsidR="005F58FB">
        <w:rPr>
          <w:rFonts w:eastAsia="Times New Roman" w:cs="Times New Roman"/>
          <w:color w:val="000000"/>
        </w:rPr>
        <w:t xml:space="preserve">, </w:t>
      </w:r>
      <w:r w:rsidR="005F58FB" w:rsidRPr="00403D85">
        <w:rPr>
          <w:rFonts w:eastAsia="Times New Roman" w:cs="Times New Roman"/>
          <w:i/>
          <w:iCs/>
          <w:color w:val="222222"/>
          <w:szCs w:val="24"/>
          <w:shd w:val="clear" w:color="auto" w:fill="FFFFFF"/>
        </w:rPr>
        <w:t>Cyberspace Self-Governance: A Skeptical View from Liberal Democratic Theory</w:t>
      </w:r>
      <w:r w:rsidR="005F58FB">
        <w:rPr>
          <w:rFonts w:eastAsia="Times New Roman" w:cs="Times New Roman"/>
          <w:color w:val="222222"/>
          <w:szCs w:val="24"/>
          <w:shd w:val="clear" w:color="auto" w:fill="FFFFFF"/>
        </w:rPr>
        <w:t xml:space="preserve">, 88 </w:t>
      </w:r>
      <w:r w:rsidR="005F58FB" w:rsidRPr="00403D85">
        <w:rPr>
          <w:rFonts w:eastAsia="Times New Roman" w:cs="Times New Roman"/>
          <w:smallCaps/>
          <w:color w:val="222222"/>
          <w:szCs w:val="24"/>
          <w:shd w:val="clear" w:color="auto" w:fill="FFFFFF"/>
        </w:rPr>
        <w:t>Calif. L. Rev.</w:t>
      </w:r>
      <w:r w:rsidR="005F58FB">
        <w:rPr>
          <w:rFonts w:eastAsia="Times New Roman" w:cs="Times New Roman"/>
          <w:color w:val="222222"/>
          <w:szCs w:val="24"/>
          <w:shd w:val="clear" w:color="auto" w:fill="FFFFFF"/>
        </w:rPr>
        <w:t xml:space="preserve"> 395</w:t>
      </w:r>
      <w:r w:rsidRPr="00BE4144">
        <w:rPr>
          <w:rFonts w:eastAsia="Times New Roman" w:cs="Times New Roman"/>
          <w:color w:val="000000"/>
        </w:rPr>
        <w:t xml:space="preserve"> </w:t>
      </w:r>
      <w:r w:rsidR="005F58FB">
        <w:rPr>
          <w:rFonts w:eastAsia="Times New Roman" w:cs="Times New Roman"/>
          <w:color w:val="000000"/>
        </w:rPr>
        <w:t>(</w:t>
      </w:r>
      <w:r w:rsidRPr="00BE4144">
        <w:rPr>
          <w:rFonts w:eastAsia="Times New Roman" w:cs="Times New Roman"/>
          <w:color w:val="000000"/>
        </w:rPr>
        <w:t>2000).</w:t>
      </w:r>
    </w:p>
  </w:footnote>
  <w:footnote w:id="171">
    <w:p w14:paraId="11E2FC47" w14:textId="73BFFF9E"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5F58FB">
        <w:rPr>
          <w:rFonts w:cs="Times New Roman"/>
        </w:rPr>
        <w:t xml:space="preserve">David R. </w:t>
      </w:r>
      <w:r w:rsidRPr="00BE4144">
        <w:rPr>
          <w:rFonts w:cs="Times New Roman"/>
        </w:rPr>
        <w:t xml:space="preserve">Johnson </w:t>
      </w:r>
      <w:r w:rsidR="005F58FB">
        <w:rPr>
          <w:rFonts w:cs="Times New Roman"/>
        </w:rPr>
        <w:t>&amp;</w:t>
      </w:r>
      <w:r w:rsidR="005F58FB" w:rsidRPr="00BE4144">
        <w:rPr>
          <w:rFonts w:cs="Times New Roman"/>
        </w:rPr>
        <w:t xml:space="preserve"> </w:t>
      </w:r>
      <w:r w:rsidR="005F58FB">
        <w:rPr>
          <w:rFonts w:cs="Times New Roman"/>
        </w:rPr>
        <w:t xml:space="preserve">David </w:t>
      </w:r>
      <w:r w:rsidRPr="00BE4144">
        <w:rPr>
          <w:rFonts w:cs="Times New Roman"/>
        </w:rPr>
        <w:t>Post</w:t>
      </w:r>
      <w:r w:rsidR="005F58FB">
        <w:rPr>
          <w:rFonts w:cs="Times New Roman"/>
        </w:rPr>
        <w:t xml:space="preserve">, </w:t>
      </w:r>
      <w:proofErr w:type="gramStart"/>
      <w:r w:rsidR="005F58FB" w:rsidRPr="00403D85">
        <w:rPr>
          <w:rFonts w:eastAsia="Times New Roman" w:cs="Times New Roman"/>
          <w:i/>
          <w:iCs/>
          <w:color w:val="222222"/>
          <w:szCs w:val="24"/>
          <w:shd w:val="clear" w:color="auto" w:fill="FFFFFF"/>
        </w:rPr>
        <w:t>Law</w:t>
      </w:r>
      <w:proofErr w:type="gramEnd"/>
      <w:r w:rsidR="005F58FB" w:rsidRPr="00403D85">
        <w:rPr>
          <w:rFonts w:eastAsia="Times New Roman" w:cs="Times New Roman"/>
          <w:i/>
          <w:iCs/>
          <w:color w:val="222222"/>
          <w:szCs w:val="24"/>
          <w:shd w:val="clear" w:color="auto" w:fill="FFFFFF"/>
        </w:rPr>
        <w:t xml:space="preserve"> and Borders–The Rise of Law in Cyberspace</w:t>
      </w:r>
      <w:r w:rsidR="005F58FB">
        <w:rPr>
          <w:rFonts w:cs="Times New Roman"/>
        </w:rPr>
        <w:t xml:space="preserve">, 48 </w:t>
      </w:r>
      <w:r w:rsidR="005F58FB" w:rsidRPr="00403D85">
        <w:rPr>
          <w:rFonts w:cs="Times New Roman"/>
          <w:i/>
          <w:iCs/>
        </w:rPr>
        <w:t>Stan. L. Rev.</w:t>
      </w:r>
      <w:r w:rsidR="005F58FB">
        <w:rPr>
          <w:rFonts w:cs="Times New Roman"/>
        </w:rPr>
        <w:t xml:space="preserve"> 1367, 1367</w:t>
      </w:r>
      <w:r w:rsidRPr="00BE4144">
        <w:rPr>
          <w:rFonts w:cs="Times New Roman"/>
        </w:rPr>
        <w:t xml:space="preserve"> </w:t>
      </w:r>
      <w:r w:rsidRPr="00BE4144">
        <w:rPr>
          <w:rFonts w:eastAsia="Times New Roman" w:cs="Times New Roman"/>
          <w:color w:val="000000"/>
        </w:rPr>
        <w:t>(1996).</w:t>
      </w:r>
    </w:p>
  </w:footnote>
  <w:footnote w:id="172">
    <w:p w14:paraId="43983803" w14:textId="470AE506"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54B60">
        <w:rPr>
          <w:rFonts w:eastAsia="Times New Roman" w:cs="Times New Roman"/>
          <w:color w:val="000000"/>
        </w:rPr>
        <w:t xml:space="preserve">A. Michael </w:t>
      </w:r>
      <w:proofErr w:type="spellStart"/>
      <w:r w:rsidRPr="00BE4144">
        <w:rPr>
          <w:rFonts w:eastAsia="Times New Roman" w:cs="Times New Roman"/>
          <w:color w:val="000000"/>
        </w:rPr>
        <w:t>Froomkin</w:t>
      </w:r>
      <w:proofErr w:type="spellEnd"/>
      <w:r w:rsidR="00054B60">
        <w:rPr>
          <w:rFonts w:eastAsia="Times New Roman" w:cs="Times New Roman"/>
          <w:color w:val="000000"/>
        </w:rPr>
        <w:t xml:space="preserve">, </w:t>
      </w:r>
      <w:r w:rsidR="00054B60" w:rsidRPr="00403D85">
        <w:rPr>
          <w:rFonts w:eastAsia="Times New Roman" w:cs="Times New Roman"/>
          <w:i/>
          <w:iCs/>
          <w:color w:val="222222"/>
          <w:szCs w:val="24"/>
          <w:shd w:val="clear" w:color="auto" w:fill="FFFFFF"/>
        </w:rPr>
        <w:t>Habermas@Discourse.Net: Toward of Critical Theory of Cyberspace</w:t>
      </w:r>
      <w:r w:rsidR="00054B60">
        <w:rPr>
          <w:rFonts w:eastAsia="Times New Roman" w:cs="Times New Roman"/>
          <w:color w:val="222222"/>
          <w:szCs w:val="24"/>
          <w:shd w:val="clear" w:color="auto" w:fill="FFFFFF"/>
        </w:rPr>
        <w:t xml:space="preserve">, 116 </w:t>
      </w:r>
      <w:r w:rsidR="00054B60" w:rsidRPr="00403D85">
        <w:rPr>
          <w:rFonts w:eastAsia="Times New Roman" w:cs="Times New Roman"/>
          <w:smallCaps/>
          <w:color w:val="222222"/>
          <w:szCs w:val="24"/>
          <w:shd w:val="clear" w:color="auto" w:fill="FFFFFF"/>
        </w:rPr>
        <w:t>Harv. L. Rev.</w:t>
      </w:r>
      <w:r w:rsidR="00054B60">
        <w:rPr>
          <w:rFonts w:eastAsia="Times New Roman" w:cs="Times New Roman"/>
          <w:color w:val="222222"/>
          <w:szCs w:val="24"/>
          <w:shd w:val="clear" w:color="auto" w:fill="FFFFFF"/>
        </w:rPr>
        <w:t xml:space="preserve"> 749, 783</w:t>
      </w:r>
      <w:r w:rsidRPr="00BE4144">
        <w:rPr>
          <w:rFonts w:eastAsia="Times New Roman" w:cs="Times New Roman"/>
          <w:color w:val="000000"/>
        </w:rPr>
        <w:t xml:space="preserve"> </w:t>
      </w:r>
      <w:r w:rsidR="00054B60">
        <w:rPr>
          <w:rFonts w:eastAsia="Times New Roman" w:cs="Times New Roman"/>
          <w:color w:val="000000"/>
        </w:rPr>
        <w:t>(</w:t>
      </w:r>
      <w:r w:rsidRPr="00BE4144">
        <w:rPr>
          <w:rFonts w:eastAsia="Times New Roman" w:cs="Times New Roman"/>
          <w:color w:val="000000"/>
        </w:rPr>
        <w:t>200</w:t>
      </w:r>
      <w:r w:rsidR="00054B60">
        <w:rPr>
          <w:rFonts w:eastAsia="Times New Roman" w:cs="Times New Roman"/>
          <w:color w:val="000000"/>
        </w:rPr>
        <w:t>3</w:t>
      </w:r>
      <w:r w:rsidRPr="00BE4144">
        <w:rPr>
          <w:rFonts w:eastAsia="Times New Roman" w:cs="Times New Roman"/>
          <w:color w:val="000000"/>
        </w:rPr>
        <w:t>).</w:t>
      </w:r>
    </w:p>
  </w:footnote>
  <w:footnote w:id="173">
    <w:p w14:paraId="177002ED" w14:textId="29F6DE4A"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54B60">
        <w:rPr>
          <w:rFonts w:eastAsia="Times New Roman" w:cs="Times New Roman"/>
          <w:i/>
          <w:iCs/>
          <w:color w:val="000000"/>
        </w:rPr>
        <w:t xml:space="preserve">Id. </w:t>
      </w:r>
      <w:r w:rsidR="00054B60">
        <w:rPr>
          <w:rFonts w:eastAsia="Times New Roman" w:cs="Times New Roman"/>
          <w:color w:val="000000"/>
        </w:rPr>
        <w:t>at</w:t>
      </w:r>
      <w:r w:rsidRPr="00BE4144">
        <w:rPr>
          <w:rFonts w:eastAsia="Times New Roman" w:cs="Times New Roman"/>
          <w:color w:val="000000"/>
        </w:rPr>
        <w:t xml:space="preserve"> 787.</w:t>
      </w:r>
    </w:p>
  </w:footnote>
  <w:footnote w:id="174">
    <w:p w14:paraId="23750A36" w14:textId="17A391BD"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54B60">
        <w:rPr>
          <w:rFonts w:eastAsia="Times New Roman" w:cs="Times New Roman"/>
          <w:i/>
          <w:iCs/>
          <w:color w:val="000000"/>
        </w:rPr>
        <w:t xml:space="preserve">Id. </w:t>
      </w:r>
      <w:r w:rsidR="00054B60">
        <w:rPr>
          <w:rFonts w:eastAsia="Times New Roman" w:cs="Times New Roman"/>
          <w:color w:val="000000"/>
        </w:rPr>
        <w:t>at 787</w:t>
      </w:r>
      <w:r w:rsidRPr="00BE4144">
        <w:rPr>
          <w:rFonts w:eastAsia="Times New Roman" w:cs="Times New Roman"/>
          <w:color w:val="000000"/>
        </w:rPr>
        <w:t>-88</w:t>
      </w:r>
      <w:r w:rsidR="00054B60">
        <w:rPr>
          <w:rFonts w:eastAsia="Times New Roman" w:cs="Times New Roman"/>
          <w:color w:val="000000"/>
        </w:rPr>
        <w:t xml:space="preserve"> (quoting </w:t>
      </w:r>
      <w:r w:rsidR="00054B60" w:rsidRPr="00403D85">
        <w:rPr>
          <w:rFonts w:eastAsia="Times New Roman" w:cs="Times New Roman"/>
          <w:color w:val="000000"/>
        </w:rPr>
        <w:t>CERF 1990).</w:t>
      </w:r>
    </w:p>
  </w:footnote>
  <w:footnote w:id="175">
    <w:p w14:paraId="3BEAFCBC" w14:textId="791AB634"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54B60" w:rsidRPr="00054B60">
        <w:rPr>
          <w:rFonts w:cs="Times New Roman"/>
        </w:rPr>
        <w:t xml:space="preserve">Justus Baron, Jorge L. Contreras, Pierre Larouche, </w:t>
      </w:r>
      <w:proofErr w:type="gramStart"/>
      <w:r w:rsidR="00054B60" w:rsidRPr="00403D85">
        <w:rPr>
          <w:rFonts w:cs="Times New Roman"/>
          <w:i/>
          <w:iCs/>
        </w:rPr>
        <w:t>Balance</w:t>
      </w:r>
      <w:proofErr w:type="gramEnd"/>
      <w:r w:rsidR="00054B60" w:rsidRPr="00403D85">
        <w:rPr>
          <w:rFonts w:cs="Times New Roman"/>
          <w:i/>
          <w:iCs/>
        </w:rPr>
        <w:t xml:space="preserve"> and Standardization: Implications for Competition and Antitrust Analysis</w:t>
      </w:r>
      <w:r w:rsidR="00054B60" w:rsidRPr="00054B60">
        <w:rPr>
          <w:rFonts w:cs="Times New Roman"/>
        </w:rPr>
        <w:t>, 84 Antitrust L.J. 425</w:t>
      </w:r>
      <w:r w:rsidR="00054B60">
        <w:rPr>
          <w:rFonts w:cs="Times New Roman"/>
        </w:rPr>
        <w:t>, 440</w:t>
      </w:r>
      <w:r w:rsidR="00054B60" w:rsidRPr="00054B60">
        <w:rPr>
          <w:rFonts w:cs="Times New Roman"/>
        </w:rPr>
        <w:t xml:space="preserve"> (2022)</w:t>
      </w:r>
      <w:r w:rsidR="00054B60">
        <w:rPr>
          <w:rFonts w:cs="Times New Roman"/>
        </w:rPr>
        <w:t>.</w:t>
      </w:r>
      <w:r w:rsidR="00054B60" w:rsidRPr="00054B60" w:rsidDel="00054B60">
        <w:rPr>
          <w:rFonts w:cs="Times New Roman"/>
        </w:rPr>
        <w:t xml:space="preserve"> </w:t>
      </w:r>
    </w:p>
  </w:footnote>
  <w:footnote w:id="176">
    <w:p w14:paraId="0A3299A5" w14:textId="4BA23C28"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at 449. </w:t>
      </w:r>
    </w:p>
  </w:footnote>
  <w:footnote w:id="177">
    <w:p w14:paraId="2FB64485" w14:textId="13A08737"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78">
    <w:p w14:paraId="1373B522" w14:textId="60BACB77"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proofErr w:type="spellStart"/>
      <w:r w:rsidRPr="00BE4144">
        <w:rPr>
          <w:rFonts w:eastAsia="Times New Roman" w:cs="Times New Roman"/>
          <w:color w:val="000000"/>
        </w:rPr>
        <w:t>Froomkin</w:t>
      </w:r>
      <w:proofErr w:type="spellEnd"/>
      <w:r w:rsidRPr="00BE4144">
        <w:rPr>
          <w:rFonts w:eastAsia="Times New Roman" w:cs="Times New Roman"/>
          <w:color w:val="000000"/>
        </w:rPr>
        <w:t>,</w:t>
      </w:r>
      <w:r w:rsidR="00054B60">
        <w:rPr>
          <w:rFonts w:eastAsia="Times New Roman" w:cs="Times New Roman"/>
          <w:color w:val="000000"/>
        </w:rPr>
        <w:t xml:space="preserve"> </w:t>
      </w:r>
      <w:r w:rsidR="00054B60">
        <w:rPr>
          <w:rFonts w:eastAsia="Times New Roman" w:cs="Times New Roman"/>
          <w:i/>
          <w:iCs/>
          <w:color w:val="000000"/>
        </w:rPr>
        <w:t xml:space="preserve">supra </w:t>
      </w:r>
      <w:r w:rsidR="00054B60">
        <w:rPr>
          <w:rFonts w:eastAsia="Times New Roman" w:cs="Times New Roman"/>
          <w:color w:val="000000"/>
        </w:rPr>
        <w:t xml:space="preserve">note </w:t>
      </w:r>
      <w:r w:rsidR="00054B60">
        <w:rPr>
          <w:rFonts w:eastAsia="Times New Roman" w:cs="Times New Roman"/>
          <w:color w:val="000000"/>
        </w:rPr>
        <w:fldChar w:fldCharType="begin"/>
      </w:r>
      <w:r w:rsidR="00054B60">
        <w:rPr>
          <w:rFonts w:eastAsia="Times New Roman" w:cs="Times New Roman"/>
          <w:color w:val="000000"/>
        </w:rPr>
        <w:instrText xml:space="preserve"> NOTEREF _Ref142255420 \h </w:instrText>
      </w:r>
      <w:r w:rsidR="00054B60">
        <w:rPr>
          <w:rFonts w:eastAsia="Times New Roman" w:cs="Times New Roman"/>
          <w:color w:val="000000"/>
        </w:rPr>
      </w:r>
      <w:r w:rsidR="00054B60">
        <w:rPr>
          <w:rFonts w:eastAsia="Times New Roman" w:cs="Times New Roman"/>
          <w:color w:val="000000"/>
        </w:rPr>
        <w:fldChar w:fldCharType="separate"/>
      </w:r>
      <w:r w:rsidR="00054B60">
        <w:rPr>
          <w:rFonts w:eastAsia="Times New Roman" w:cs="Times New Roman"/>
          <w:color w:val="000000"/>
        </w:rPr>
        <w:t>171</w:t>
      </w:r>
      <w:r w:rsidR="00054B60">
        <w:rPr>
          <w:rFonts w:eastAsia="Times New Roman" w:cs="Times New Roman"/>
          <w:color w:val="000000"/>
        </w:rPr>
        <w:fldChar w:fldCharType="end"/>
      </w:r>
      <w:r w:rsidR="00054B60">
        <w:rPr>
          <w:rFonts w:eastAsia="Times New Roman" w:cs="Times New Roman"/>
          <w:color w:val="000000"/>
        </w:rPr>
        <w:t>, at</w:t>
      </w:r>
      <w:r w:rsidRPr="00BE4144">
        <w:rPr>
          <w:rFonts w:eastAsia="Times New Roman" w:cs="Times New Roman"/>
          <w:color w:val="000000"/>
        </w:rPr>
        <w:t xml:space="preserve"> 778-79.</w:t>
      </w:r>
    </w:p>
  </w:footnote>
  <w:footnote w:id="179">
    <w:p w14:paraId="0B379CF1" w14:textId="1EE4902D"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eastAsia="Times New Roman" w:cs="Times New Roman"/>
          <w:color w:val="000000"/>
        </w:rPr>
        <w:t xml:space="preserve"> </w:t>
      </w:r>
      <w:r w:rsidRPr="00BE4144">
        <w:rPr>
          <w:rFonts w:eastAsia="Times New Roman" w:cs="Times New Roman"/>
          <w:i/>
          <w:iCs/>
          <w:color w:val="000000"/>
        </w:rPr>
        <w:t>Id</w:t>
      </w:r>
      <w:r w:rsidRPr="00BE4144">
        <w:rPr>
          <w:rFonts w:eastAsia="Times New Roman" w:cs="Times New Roman"/>
          <w:color w:val="000000"/>
        </w:rPr>
        <w:t xml:space="preserve">. at 787. </w:t>
      </w:r>
    </w:p>
  </w:footnote>
  <w:footnote w:id="180">
    <w:p w14:paraId="1FA86EFB" w14:textId="29224985"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i/>
          <w:iCs/>
          <w:color w:val="000000"/>
        </w:rPr>
        <w:t>Id</w:t>
      </w:r>
      <w:r w:rsidRPr="00BE4144">
        <w:rPr>
          <w:rFonts w:eastAsia="Times New Roman" w:cs="Times New Roman"/>
          <w:color w:val="000000"/>
        </w:rPr>
        <w:t xml:space="preserve">. at 820. </w:t>
      </w:r>
    </w:p>
  </w:footnote>
  <w:footnote w:id="181">
    <w:p w14:paraId="5B4DBC3E" w14:textId="2D026A72" w:rsidR="001D72DC" w:rsidRPr="00BE4144" w:rsidRDefault="001D72D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at 819. </w:t>
      </w:r>
    </w:p>
  </w:footnote>
  <w:footnote w:id="182">
    <w:p w14:paraId="43EDCC8D" w14:textId="791C8B4A" w:rsidR="00C3252B" w:rsidRPr="00BE4144" w:rsidRDefault="00C3252B"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054B60">
        <w:rPr>
          <w:rFonts w:eastAsia="Times New Roman" w:cs="Times New Roman"/>
          <w:color w:val="000000"/>
        </w:rPr>
        <w:t xml:space="preserve">Philip </w:t>
      </w:r>
      <w:r w:rsidRPr="00BE4144">
        <w:rPr>
          <w:rFonts w:eastAsia="Times New Roman" w:cs="Times New Roman"/>
          <w:color w:val="000000"/>
        </w:rPr>
        <w:t>Weiser</w:t>
      </w:r>
      <w:r w:rsidR="009B42D7">
        <w:rPr>
          <w:rFonts w:eastAsia="Times New Roman" w:cs="Times New Roman"/>
          <w:color w:val="000000"/>
        </w:rPr>
        <w:t xml:space="preserve">, </w:t>
      </w:r>
      <w:r w:rsidR="009B42D7" w:rsidRPr="00403D85">
        <w:rPr>
          <w:rFonts w:eastAsia="Times New Roman" w:cs="Times New Roman"/>
          <w:i/>
          <w:iCs/>
          <w:color w:val="222222"/>
          <w:szCs w:val="24"/>
        </w:rPr>
        <w:t>The Internet, Innovation, and Intellectual Property Policy</w:t>
      </w:r>
      <w:r w:rsidR="009B42D7">
        <w:rPr>
          <w:rFonts w:eastAsia="Times New Roman" w:cs="Times New Roman"/>
          <w:color w:val="222222"/>
          <w:szCs w:val="24"/>
        </w:rPr>
        <w:t>, 103</w:t>
      </w:r>
      <w:r w:rsidR="009B42D7" w:rsidRPr="00403D85">
        <w:rPr>
          <w:rFonts w:eastAsia="Times New Roman" w:cs="Times New Roman"/>
          <w:smallCaps/>
          <w:color w:val="222222"/>
          <w:szCs w:val="24"/>
        </w:rPr>
        <w:t xml:space="preserve"> Colum. L. Rev.</w:t>
      </w:r>
      <w:r w:rsidR="009B42D7" w:rsidRPr="009B42D7">
        <w:rPr>
          <w:rFonts w:eastAsia="Times New Roman" w:cs="Times New Roman"/>
          <w:color w:val="222222"/>
          <w:szCs w:val="24"/>
        </w:rPr>
        <w:t xml:space="preserve"> </w:t>
      </w:r>
      <w:r w:rsidR="009B42D7">
        <w:rPr>
          <w:rFonts w:eastAsia="Times New Roman" w:cs="Times New Roman"/>
          <w:color w:val="222222"/>
          <w:szCs w:val="24"/>
        </w:rPr>
        <w:t>534</w:t>
      </w:r>
      <w:r w:rsidRPr="00BE4144">
        <w:rPr>
          <w:rFonts w:eastAsia="Times New Roman" w:cs="Times New Roman"/>
          <w:color w:val="000000"/>
        </w:rPr>
        <w:t xml:space="preserve"> </w:t>
      </w:r>
      <w:r w:rsidR="009B42D7">
        <w:rPr>
          <w:rFonts w:eastAsia="Times New Roman" w:cs="Times New Roman"/>
          <w:color w:val="000000"/>
        </w:rPr>
        <w:t>(</w:t>
      </w:r>
      <w:r w:rsidRPr="00BE4144">
        <w:rPr>
          <w:rFonts w:eastAsia="Times New Roman" w:cs="Times New Roman"/>
          <w:color w:val="000000"/>
        </w:rPr>
        <w:t>2003)</w:t>
      </w:r>
      <w:r w:rsidR="009B42D7">
        <w:rPr>
          <w:rFonts w:eastAsia="Times New Roman" w:cs="Times New Roman"/>
          <w:color w:val="000000"/>
        </w:rPr>
        <w:t>.</w:t>
      </w:r>
    </w:p>
  </w:footnote>
  <w:footnote w:id="183">
    <w:p w14:paraId="6586486A" w14:textId="00D1A109" w:rsidR="00C3252B" w:rsidRPr="00BE4144" w:rsidRDefault="00C3252B"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Netanel</w:t>
      </w:r>
      <w:r w:rsidR="009B42D7">
        <w:rPr>
          <w:rFonts w:eastAsia="Times New Roman" w:cs="Times New Roman"/>
          <w:color w:val="000000"/>
        </w:rPr>
        <w:t xml:space="preserve">, </w:t>
      </w:r>
      <w:r w:rsidR="009B42D7">
        <w:rPr>
          <w:rFonts w:eastAsia="Times New Roman" w:cs="Times New Roman"/>
          <w:i/>
          <w:iCs/>
          <w:color w:val="000000"/>
        </w:rPr>
        <w:t xml:space="preserve">supra </w:t>
      </w:r>
      <w:r w:rsidR="009B42D7">
        <w:rPr>
          <w:rFonts w:eastAsia="Times New Roman" w:cs="Times New Roman"/>
          <w:color w:val="000000"/>
        </w:rPr>
        <w:t xml:space="preserve">note </w:t>
      </w:r>
      <w:r w:rsidR="009B42D7">
        <w:rPr>
          <w:rFonts w:eastAsia="Times New Roman" w:cs="Times New Roman"/>
          <w:color w:val="000000"/>
        </w:rPr>
        <w:fldChar w:fldCharType="begin"/>
      </w:r>
      <w:r w:rsidR="009B42D7">
        <w:rPr>
          <w:rFonts w:eastAsia="Times New Roman" w:cs="Times New Roman"/>
          <w:color w:val="000000"/>
        </w:rPr>
        <w:instrText xml:space="preserve"> NOTEREF _Ref142255866 \h </w:instrText>
      </w:r>
      <w:r w:rsidR="009B42D7">
        <w:rPr>
          <w:rFonts w:eastAsia="Times New Roman" w:cs="Times New Roman"/>
          <w:color w:val="000000"/>
        </w:rPr>
      </w:r>
      <w:r w:rsidR="009B42D7">
        <w:rPr>
          <w:rFonts w:eastAsia="Times New Roman" w:cs="Times New Roman"/>
          <w:color w:val="000000"/>
        </w:rPr>
        <w:fldChar w:fldCharType="separate"/>
      </w:r>
      <w:r w:rsidR="009B42D7">
        <w:rPr>
          <w:rFonts w:eastAsia="Times New Roman" w:cs="Times New Roman"/>
          <w:color w:val="000000"/>
        </w:rPr>
        <w:t>169</w:t>
      </w:r>
      <w:r w:rsidR="009B42D7">
        <w:rPr>
          <w:rFonts w:eastAsia="Times New Roman" w:cs="Times New Roman"/>
          <w:color w:val="000000"/>
        </w:rPr>
        <w:fldChar w:fldCharType="end"/>
      </w:r>
      <w:r w:rsidRPr="00BE4144">
        <w:rPr>
          <w:rFonts w:eastAsia="Times New Roman" w:cs="Times New Roman"/>
          <w:color w:val="000000"/>
        </w:rPr>
        <w:t>,</w:t>
      </w:r>
      <w:r w:rsidR="009B42D7">
        <w:rPr>
          <w:rFonts w:eastAsia="Times New Roman" w:cs="Times New Roman"/>
          <w:color w:val="000000"/>
        </w:rPr>
        <w:t xml:space="preserve"> at</w:t>
      </w:r>
      <w:r w:rsidRPr="00BE4144">
        <w:rPr>
          <w:rFonts w:eastAsia="Times New Roman" w:cs="Times New Roman"/>
          <w:color w:val="000000"/>
        </w:rPr>
        <w:t xml:space="preserve"> 399-400. </w:t>
      </w:r>
    </w:p>
  </w:footnote>
  <w:footnote w:id="184">
    <w:p w14:paraId="450A36A3" w14:textId="0B89012F" w:rsidR="00C3252B" w:rsidRPr="00BE4144" w:rsidRDefault="00C3252B"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1B14F7" w:rsidRPr="00BE4144">
        <w:rPr>
          <w:rFonts w:eastAsia="Times New Roman" w:cs="Times New Roman"/>
          <w:color w:val="000000"/>
        </w:rPr>
        <w:t xml:space="preserve"> Baron et al</w:t>
      </w:r>
      <w:r w:rsidR="009B42D7">
        <w:rPr>
          <w:rFonts w:eastAsia="Times New Roman" w:cs="Times New Roman"/>
          <w:color w:val="000000"/>
        </w:rPr>
        <w:t xml:space="preserve">,  </w:t>
      </w:r>
      <w:r w:rsidR="009B42D7">
        <w:rPr>
          <w:rFonts w:eastAsia="Times New Roman" w:cs="Times New Roman"/>
          <w:i/>
          <w:iCs/>
          <w:color w:val="000000"/>
        </w:rPr>
        <w:t xml:space="preserve">supra </w:t>
      </w:r>
      <w:r w:rsidR="009B42D7">
        <w:rPr>
          <w:rFonts w:eastAsia="Times New Roman" w:cs="Times New Roman"/>
          <w:color w:val="000000"/>
        </w:rPr>
        <w:t xml:space="preserve">note </w:t>
      </w:r>
      <w:r w:rsidR="009B42D7">
        <w:rPr>
          <w:rFonts w:eastAsia="Times New Roman" w:cs="Times New Roman"/>
          <w:color w:val="000000"/>
        </w:rPr>
        <w:fldChar w:fldCharType="begin"/>
      </w:r>
      <w:r w:rsidR="009B42D7">
        <w:rPr>
          <w:rFonts w:eastAsia="Times New Roman" w:cs="Times New Roman"/>
          <w:color w:val="000000"/>
        </w:rPr>
        <w:instrText xml:space="preserve"> NOTEREF _Ref142255967 \h </w:instrText>
      </w:r>
      <w:r w:rsidR="009B42D7">
        <w:rPr>
          <w:rFonts w:eastAsia="Times New Roman" w:cs="Times New Roman"/>
          <w:color w:val="000000"/>
        </w:rPr>
      </w:r>
      <w:r w:rsidR="009B42D7">
        <w:rPr>
          <w:rFonts w:eastAsia="Times New Roman" w:cs="Times New Roman"/>
          <w:color w:val="000000"/>
        </w:rPr>
        <w:fldChar w:fldCharType="separate"/>
      </w:r>
      <w:r w:rsidR="009B42D7">
        <w:rPr>
          <w:rFonts w:eastAsia="Times New Roman" w:cs="Times New Roman"/>
          <w:color w:val="000000"/>
        </w:rPr>
        <w:t>174</w:t>
      </w:r>
      <w:r w:rsidR="009B42D7">
        <w:rPr>
          <w:rFonts w:eastAsia="Times New Roman" w:cs="Times New Roman"/>
          <w:color w:val="000000"/>
        </w:rPr>
        <w:fldChar w:fldCharType="end"/>
      </w:r>
      <w:r w:rsidR="009B42D7">
        <w:rPr>
          <w:rFonts w:eastAsia="Times New Roman" w:cs="Times New Roman"/>
          <w:color w:val="000000"/>
        </w:rPr>
        <w:t xml:space="preserve">. </w:t>
      </w:r>
      <w:r w:rsidR="001B14F7" w:rsidRPr="00BE4144">
        <w:rPr>
          <w:rFonts w:eastAsia="Times New Roman" w:cs="Times New Roman"/>
          <w:color w:val="000000"/>
        </w:rPr>
        <w:t> </w:t>
      </w:r>
    </w:p>
  </w:footnote>
  <w:footnote w:id="185">
    <w:p w14:paraId="370430C3" w14:textId="3DE78882" w:rsidR="001B14F7" w:rsidRPr="00BE4144" w:rsidRDefault="001B14F7"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Maher</w:t>
      </w:r>
      <w:r w:rsidR="009B42D7">
        <w:rPr>
          <w:rFonts w:eastAsia="Times New Roman" w:cs="Times New Roman"/>
          <w:color w:val="000000"/>
        </w:rPr>
        <w:t xml:space="preserve">, </w:t>
      </w:r>
      <w:r w:rsidR="009B42D7">
        <w:rPr>
          <w:rFonts w:eastAsia="Times New Roman" w:cs="Times New Roman"/>
          <w:i/>
          <w:iCs/>
          <w:color w:val="000000"/>
        </w:rPr>
        <w:t xml:space="preserve">supra </w:t>
      </w:r>
      <w:r w:rsidR="009B42D7">
        <w:rPr>
          <w:rFonts w:eastAsia="Times New Roman" w:cs="Times New Roman"/>
          <w:color w:val="000000"/>
        </w:rPr>
        <w:t xml:space="preserve">note </w:t>
      </w:r>
      <w:r w:rsidR="009B42D7">
        <w:rPr>
          <w:rFonts w:eastAsia="Times New Roman" w:cs="Times New Roman"/>
          <w:color w:val="000000"/>
        </w:rPr>
        <w:fldChar w:fldCharType="begin"/>
      </w:r>
      <w:r w:rsidR="009B42D7">
        <w:rPr>
          <w:rFonts w:eastAsia="Times New Roman" w:cs="Times New Roman"/>
          <w:color w:val="000000"/>
        </w:rPr>
        <w:instrText xml:space="preserve"> NOTEREF _Ref142253893 \h </w:instrText>
      </w:r>
      <w:r w:rsidR="009B42D7">
        <w:rPr>
          <w:rFonts w:eastAsia="Times New Roman" w:cs="Times New Roman"/>
          <w:color w:val="000000"/>
        </w:rPr>
      </w:r>
      <w:r w:rsidR="009B42D7">
        <w:rPr>
          <w:rFonts w:eastAsia="Times New Roman" w:cs="Times New Roman"/>
          <w:color w:val="000000"/>
        </w:rPr>
        <w:fldChar w:fldCharType="separate"/>
      </w:r>
      <w:r w:rsidR="009B42D7">
        <w:rPr>
          <w:rFonts w:eastAsia="Times New Roman" w:cs="Times New Roman"/>
          <w:color w:val="000000"/>
        </w:rPr>
        <w:t>120</w:t>
      </w:r>
      <w:r w:rsidR="009B42D7">
        <w:rPr>
          <w:rFonts w:eastAsia="Times New Roman" w:cs="Times New Roman"/>
          <w:color w:val="000000"/>
        </w:rPr>
        <w:fldChar w:fldCharType="end"/>
      </w:r>
      <w:r w:rsidR="009B42D7">
        <w:rPr>
          <w:rFonts w:eastAsia="Times New Roman" w:cs="Times New Roman"/>
          <w:color w:val="000000"/>
        </w:rPr>
        <w:t>.</w:t>
      </w:r>
    </w:p>
  </w:footnote>
  <w:footnote w:id="186">
    <w:p w14:paraId="71C96DD6" w14:textId="0B4F80D9" w:rsidR="001B14F7" w:rsidRPr="00BE4144" w:rsidRDefault="001B14F7"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i/>
          <w:iCs/>
          <w:color w:val="000000"/>
        </w:rPr>
        <w:t>Id</w:t>
      </w:r>
      <w:r w:rsidRPr="00BE4144">
        <w:rPr>
          <w:rFonts w:eastAsia="Times New Roman" w:cs="Times New Roman"/>
          <w:color w:val="000000"/>
        </w:rPr>
        <w:t xml:space="preserve">. at 78. </w:t>
      </w:r>
    </w:p>
  </w:footnote>
  <w:footnote w:id="187">
    <w:p w14:paraId="353C4CA4" w14:textId="713BA065" w:rsidR="001B14F7" w:rsidRPr="00403D85" w:rsidRDefault="001B14F7" w:rsidP="00B1482F">
      <w:pPr>
        <w:pStyle w:val="FootnoteText"/>
        <w:jc w:val="both"/>
        <w:rPr>
          <w:rFonts w:eastAsia="Times New Roman" w:cs="Times New Roman"/>
          <w:color w:val="000000"/>
        </w:rPr>
      </w:pPr>
      <w:r w:rsidRPr="00BE4144">
        <w:rPr>
          <w:rStyle w:val="FootnoteReference"/>
          <w:rFonts w:cs="Times New Roman"/>
        </w:rPr>
        <w:footnoteRef/>
      </w:r>
      <w:r w:rsidRPr="00BE4144">
        <w:rPr>
          <w:rFonts w:cs="Times New Roman"/>
        </w:rPr>
        <w:t xml:space="preserve"> </w:t>
      </w:r>
      <w:r w:rsidR="00B1482F">
        <w:t xml:space="preserve">Paul W. </w:t>
      </w:r>
      <w:proofErr w:type="spellStart"/>
      <w:r w:rsidR="00B1482F">
        <w:t>Parfomak</w:t>
      </w:r>
      <w:proofErr w:type="spellEnd"/>
      <w:r w:rsidR="00B1482F">
        <w:rPr>
          <w:rFonts w:eastAsia="Times New Roman" w:cs="Times New Roman"/>
          <w:color w:val="000000"/>
        </w:rPr>
        <w:t xml:space="preserve">, </w:t>
      </w:r>
      <w:r w:rsidR="00E81BAC" w:rsidRPr="00BE4144">
        <w:rPr>
          <w:rFonts w:eastAsia="Times New Roman" w:cs="Times New Roman"/>
          <w:color w:val="000000"/>
        </w:rPr>
        <w:t>Cong</w:t>
      </w:r>
      <w:r w:rsidR="00B1482F">
        <w:rPr>
          <w:rFonts w:eastAsia="Times New Roman" w:cs="Times New Roman"/>
          <w:color w:val="000000"/>
        </w:rPr>
        <w:t>.</w:t>
      </w:r>
      <w:r w:rsidR="00E81BAC" w:rsidRPr="00BE4144">
        <w:rPr>
          <w:rFonts w:eastAsia="Times New Roman" w:cs="Times New Roman"/>
          <w:color w:val="000000"/>
        </w:rPr>
        <w:t xml:space="preserve"> </w:t>
      </w:r>
      <w:proofErr w:type="spellStart"/>
      <w:r w:rsidR="00B1482F" w:rsidRPr="00BE4144">
        <w:rPr>
          <w:rFonts w:eastAsia="Times New Roman" w:cs="Times New Roman"/>
          <w:color w:val="000000"/>
        </w:rPr>
        <w:t>R</w:t>
      </w:r>
      <w:r w:rsidR="00B1482F">
        <w:rPr>
          <w:rFonts w:eastAsia="Times New Roman" w:cs="Times New Roman"/>
          <w:color w:val="000000"/>
        </w:rPr>
        <w:t>s</w:t>
      </w:r>
      <w:r w:rsidR="00B1482F" w:rsidRPr="00BE4144">
        <w:rPr>
          <w:rFonts w:eastAsia="Times New Roman" w:cs="Times New Roman"/>
          <w:color w:val="000000"/>
        </w:rPr>
        <w:t>ch</w:t>
      </w:r>
      <w:proofErr w:type="spellEnd"/>
      <w:r w:rsidR="00B1482F">
        <w:rPr>
          <w:rFonts w:eastAsia="Times New Roman" w:cs="Times New Roman"/>
          <w:color w:val="000000"/>
        </w:rPr>
        <w:t>.</w:t>
      </w:r>
      <w:r w:rsidR="00B1482F" w:rsidRPr="00BE4144">
        <w:rPr>
          <w:rFonts w:eastAsia="Times New Roman" w:cs="Times New Roman"/>
          <w:color w:val="000000"/>
        </w:rPr>
        <w:t xml:space="preserve"> Serv</w:t>
      </w:r>
      <w:r w:rsidR="00B1482F">
        <w:rPr>
          <w:rFonts w:eastAsia="Times New Roman" w:cs="Times New Roman"/>
          <w:color w:val="000000"/>
        </w:rPr>
        <w:t xml:space="preserve">., R46700, </w:t>
      </w:r>
      <w:r w:rsidR="00B1482F" w:rsidRPr="00B1482F">
        <w:rPr>
          <w:rFonts w:eastAsia="Times New Roman" w:cs="Times New Roman"/>
          <w:color w:val="000000"/>
        </w:rPr>
        <w:t>Pipeline Transportation of Hydrogen:</w:t>
      </w:r>
      <w:r w:rsidR="00B1482F">
        <w:rPr>
          <w:rFonts w:eastAsia="Times New Roman" w:cs="Times New Roman"/>
          <w:color w:val="000000"/>
        </w:rPr>
        <w:t xml:space="preserve"> </w:t>
      </w:r>
      <w:r w:rsidR="00B1482F" w:rsidRPr="00B1482F">
        <w:rPr>
          <w:rFonts w:eastAsia="Times New Roman" w:cs="Times New Roman"/>
          <w:color w:val="000000"/>
        </w:rPr>
        <w:t>Regulation, Research, and Policy</w:t>
      </w:r>
      <w:r w:rsidR="00B1482F">
        <w:rPr>
          <w:rFonts w:eastAsia="Times New Roman" w:cs="Times New Roman"/>
          <w:color w:val="000000"/>
        </w:rPr>
        <w:t xml:space="preserve"> (</w:t>
      </w:r>
      <w:r w:rsidR="00E81BAC" w:rsidRPr="00BE4144">
        <w:rPr>
          <w:rFonts w:eastAsia="Times New Roman" w:cs="Times New Roman"/>
          <w:color w:val="000000"/>
        </w:rPr>
        <w:t>2021).</w:t>
      </w:r>
    </w:p>
  </w:footnote>
  <w:footnote w:id="188">
    <w:p w14:paraId="272638CC" w14:textId="6C13F794" w:rsidR="00E81BAC" w:rsidRPr="00BE4144" w:rsidRDefault="00E81BA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Gibbons</w:t>
      </w:r>
      <w:r w:rsidR="00B1482F">
        <w:rPr>
          <w:rFonts w:eastAsia="Times New Roman" w:cs="Times New Roman"/>
          <w:color w:val="000000"/>
        </w:rPr>
        <w:t xml:space="preserve">, </w:t>
      </w:r>
      <w:r w:rsidR="00B1482F">
        <w:rPr>
          <w:rFonts w:eastAsia="Times New Roman" w:cs="Times New Roman"/>
          <w:i/>
          <w:iCs/>
          <w:color w:val="000000"/>
        </w:rPr>
        <w:t xml:space="preserve">supra </w:t>
      </w:r>
      <w:r w:rsidR="00B1482F">
        <w:rPr>
          <w:rFonts w:eastAsia="Times New Roman" w:cs="Times New Roman"/>
          <w:color w:val="000000"/>
        </w:rPr>
        <w:t>note</w:t>
      </w:r>
      <w:r w:rsidRPr="00BE4144">
        <w:rPr>
          <w:rFonts w:eastAsia="Times New Roman" w:cs="Times New Roman"/>
          <w:color w:val="000000"/>
        </w:rPr>
        <w:t xml:space="preserve"> </w:t>
      </w:r>
      <w:r w:rsidR="00B1482F">
        <w:rPr>
          <w:rFonts w:eastAsia="Times New Roman" w:cs="Times New Roman"/>
          <w:color w:val="000000"/>
        </w:rPr>
        <w:fldChar w:fldCharType="begin"/>
      </w:r>
      <w:r w:rsidR="00B1482F">
        <w:rPr>
          <w:rFonts w:eastAsia="Times New Roman" w:cs="Times New Roman"/>
          <w:color w:val="000000"/>
        </w:rPr>
        <w:instrText xml:space="preserve"> NOTEREF _Ref142256317 \h </w:instrText>
      </w:r>
      <w:r w:rsidR="00B1482F">
        <w:rPr>
          <w:rFonts w:eastAsia="Times New Roman" w:cs="Times New Roman"/>
          <w:color w:val="000000"/>
        </w:rPr>
      </w:r>
      <w:r w:rsidR="00B1482F">
        <w:rPr>
          <w:rFonts w:eastAsia="Times New Roman" w:cs="Times New Roman"/>
          <w:color w:val="000000"/>
        </w:rPr>
        <w:fldChar w:fldCharType="separate"/>
      </w:r>
      <w:r w:rsidR="00B1482F">
        <w:rPr>
          <w:rFonts w:eastAsia="Times New Roman" w:cs="Times New Roman"/>
          <w:color w:val="000000"/>
        </w:rPr>
        <w:t>167</w:t>
      </w:r>
      <w:r w:rsidR="00B1482F">
        <w:rPr>
          <w:rFonts w:eastAsia="Times New Roman" w:cs="Times New Roman"/>
          <w:color w:val="000000"/>
        </w:rPr>
        <w:fldChar w:fldCharType="end"/>
      </w:r>
      <w:r w:rsidR="00B1482F">
        <w:rPr>
          <w:rFonts w:eastAsia="Times New Roman" w:cs="Times New Roman"/>
          <w:color w:val="000000"/>
        </w:rPr>
        <w:t>.</w:t>
      </w:r>
    </w:p>
  </w:footnote>
  <w:footnote w:id="189">
    <w:p w14:paraId="6013987C" w14:textId="550DCE11" w:rsidR="00E81BAC" w:rsidRPr="00BE4144" w:rsidRDefault="00E81BA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eastAsia="Times New Roman" w:cs="Times New Roman"/>
          <w:color w:val="000000"/>
        </w:rPr>
        <w:t xml:space="preserve">American Libraries </w:t>
      </w:r>
      <w:proofErr w:type="spellStart"/>
      <w:r w:rsidRPr="00403D85">
        <w:rPr>
          <w:rFonts w:eastAsia="Times New Roman" w:cs="Times New Roman"/>
          <w:color w:val="000000"/>
        </w:rPr>
        <w:t>Ass’n</w:t>
      </w:r>
      <w:proofErr w:type="spellEnd"/>
      <w:r w:rsidRPr="00BE4144">
        <w:rPr>
          <w:rFonts w:eastAsia="Times New Roman" w:cs="Times New Roman"/>
          <w:i/>
          <w:iCs/>
          <w:color w:val="000000"/>
        </w:rPr>
        <w:t xml:space="preserve"> </w:t>
      </w:r>
      <w:r w:rsidR="00B1482F">
        <w:rPr>
          <w:rFonts w:eastAsia="Times New Roman" w:cs="Times New Roman"/>
          <w:color w:val="000000"/>
        </w:rPr>
        <w:t xml:space="preserve">v. Pataki, 969 </w:t>
      </w:r>
      <w:proofErr w:type="spellStart"/>
      <w:r w:rsidR="00B1482F">
        <w:rPr>
          <w:rFonts w:eastAsia="Times New Roman" w:cs="Times New Roman"/>
          <w:color w:val="000000"/>
        </w:rPr>
        <w:t>F.Supp</w:t>
      </w:r>
      <w:proofErr w:type="spellEnd"/>
      <w:r w:rsidR="00B1482F">
        <w:rPr>
          <w:rFonts w:eastAsia="Times New Roman" w:cs="Times New Roman"/>
          <w:color w:val="000000"/>
        </w:rPr>
        <w:t xml:space="preserve">. 160, 164, 177 (S.D.N.Y. </w:t>
      </w:r>
      <w:r w:rsidRPr="00BE4144">
        <w:rPr>
          <w:rFonts w:eastAsia="Times New Roman" w:cs="Times New Roman"/>
          <w:color w:val="000000"/>
        </w:rPr>
        <w:t>1997).</w:t>
      </w:r>
    </w:p>
  </w:footnote>
  <w:footnote w:id="190">
    <w:p w14:paraId="18C758DA" w14:textId="61D80FA6" w:rsidR="00E81BAC" w:rsidRPr="00BE4144" w:rsidRDefault="00E81BA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960D47" w:rsidRPr="00BE4144">
        <w:rPr>
          <w:rFonts w:eastAsia="Times New Roman" w:cs="Times New Roman"/>
          <w:color w:val="000000"/>
        </w:rPr>
        <w:t xml:space="preserve"> </w:t>
      </w:r>
      <w:r w:rsidR="00B1482F">
        <w:rPr>
          <w:rFonts w:eastAsia="Times New Roman" w:cs="Times New Roman"/>
          <w:i/>
          <w:iCs/>
          <w:color w:val="000000"/>
        </w:rPr>
        <w:t>Id.</w:t>
      </w:r>
      <w:r w:rsidR="00960D47" w:rsidRPr="00BE4144">
        <w:rPr>
          <w:rFonts w:eastAsia="Times New Roman" w:cs="Times New Roman"/>
          <w:color w:val="000000"/>
        </w:rPr>
        <w:t> </w:t>
      </w:r>
    </w:p>
  </w:footnote>
  <w:footnote w:id="191">
    <w:p w14:paraId="3692A081" w14:textId="38DD43B3" w:rsidR="00BE0E89" w:rsidRPr="00BE4144" w:rsidRDefault="00BE0E8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403D85">
        <w:rPr>
          <w:rFonts w:cs="Times New Roman"/>
          <w:smallCaps/>
        </w:rPr>
        <w:t>NIST, Artificial Intelligence Risk Management Framework</w:t>
      </w:r>
      <w:r w:rsidRPr="00BE4144">
        <w:rPr>
          <w:rFonts w:cs="Times New Roman"/>
        </w:rPr>
        <w:t xml:space="preserve"> 1 (January 2023) (adapted from the OECD and ISO/IEC definitions). </w:t>
      </w:r>
    </w:p>
  </w:footnote>
  <w:footnote w:id="192">
    <w:p w14:paraId="3600AD87" w14:textId="1B7AEF30" w:rsidR="00B8274F" w:rsidRPr="00BE4144" w:rsidRDefault="00B8274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Meltzer, </w:t>
      </w:r>
      <w:r w:rsidRPr="00BE4144">
        <w:rPr>
          <w:rFonts w:cs="Times New Roman"/>
          <w:i/>
          <w:iCs/>
        </w:rPr>
        <w:t xml:space="preserve">supra </w:t>
      </w:r>
      <w:r w:rsidRPr="00BE4144">
        <w:rPr>
          <w:rFonts w:cs="Times New Roman"/>
        </w:rPr>
        <w:t xml:space="preserve">note </w:t>
      </w:r>
      <w:r w:rsidR="00B1482F">
        <w:rPr>
          <w:rFonts w:cs="Times New Roman"/>
        </w:rPr>
        <w:fldChar w:fldCharType="begin"/>
      </w:r>
      <w:r w:rsidR="00B1482F">
        <w:rPr>
          <w:rFonts w:cs="Times New Roman"/>
        </w:rPr>
        <w:instrText xml:space="preserve"> NOTEREF _Ref142256430 \h </w:instrText>
      </w:r>
      <w:r w:rsidR="00B1482F">
        <w:rPr>
          <w:rFonts w:cs="Times New Roman"/>
        </w:rPr>
      </w:r>
      <w:r w:rsidR="00B1482F">
        <w:rPr>
          <w:rFonts w:cs="Times New Roman"/>
        </w:rPr>
        <w:fldChar w:fldCharType="separate"/>
      </w:r>
      <w:r w:rsidR="00B1482F">
        <w:rPr>
          <w:rFonts w:cs="Times New Roman"/>
        </w:rPr>
        <w:t>80</w:t>
      </w:r>
      <w:r w:rsidR="00B1482F">
        <w:rPr>
          <w:rFonts w:cs="Times New Roman"/>
        </w:rPr>
        <w:fldChar w:fldCharType="end"/>
      </w:r>
      <w:r w:rsidRPr="00BE4144">
        <w:rPr>
          <w:rFonts w:cs="Times New Roman"/>
        </w:rPr>
        <w:t xml:space="preserve"> [xx not hyperlinked]. </w:t>
      </w:r>
    </w:p>
  </w:footnote>
  <w:footnote w:id="193">
    <w:p w14:paraId="5F0CC4A9" w14:textId="5636D103" w:rsidR="008F1039" w:rsidRPr="00BE4144" w:rsidRDefault="008F103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Stanford University, SQ2. What </w:t>
      </w:r>
      <w:proofErr w:type="spellStart"/>
      <w:r w:rsidRPr="00BE4144">
        <w:rPr>
          <w:rFonts w:cs="Times New Roman"/>
        </w:rPr>
        <w:t>ar</w:t>
      </w:r>
      <w:proofErr w:type="spellEnd"/>
      <w:r w:rsidR="00B1482F">
        <w:rPr>
          <w:rFonts w:cs="Times New Roman"/>
        </w:rPr>
        <w:t xml:space="preserve"> </w:t>
      </w:r>
      <w:r w:rsidRPr="00BE4144">
        <w:rPr>
          <w:rFonts w:cs="Times New Roman"/>
        </w:rPr>
        <w:t xml:space="preserve">ethe most important advances in </w:t>
      </w:r>
      <w:proofErr w:type="gramStart"/>
      <w:r w:rsidRPr="00BE4144">
        <w:rPr>
          <w:rFonts w:cs="Times New Roman"/>
        </w:rPr>
        <w:t>AI?,</w:t>
      </w:r>
      <w:proofErr w:type="gramEnd"/>
      <w:r w:rsidRPr="00BE4144">
        <w:rPr>
          <w:rFonts w:cs="Times New Roman"/>
        </w:rPr>
        <w:t xml:space="preserve"> https://ai100.stanford.edu/gathering-strength-gathering-storms-one-hundred-year-study-artificial-intelligence-ai100-2021-1/sq2#:~:text=In%20the%20last%20five%20years,and%20integration%20of%20vision%20and.</w:t>
      </w:r>
    </w:p>
  </w:footnote>
  <w:footnote w:id="194">
    <w:p w14:paraId="07E1668F" w14:textId="77777777" w:rsidR="008F1039" w:rsidRPr="00BE4144" w:rsidRDefault="008F103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195">
    <w:p w14:paraId="25F8C04A" w14:textId="5880D66A" w:rsidR="00896E91" w:rsidRPr="00896E91" w:rsidRDefault="00896E91">
      <w:pPr>
        <w:pStyle w:val="FootnoteText"/>
      </w:pPr>
      <w:r>
        <w:rPr>
          <w:rStyle w:val="FootnoteReference"/>
        </w:rPr>
        <w:footnoteRef/>
      </w:r>
      <w:r>
        <w:t xml:space="preserve"> Danielle Abril, </w:t>
      </w:r>
      <w:r>
        <w:rPr>
          <w:i/>
          <w:iCs/>
        </w:rPr>
        <w:t>AI Isn’t Yet Going to Take Your Job—But You May Have to Work With It</w:t>
      </w:r>
      <w:r>
        <w:t xml:space="preserve">, Wash. Post (Mar. 20, 2023), </w:t>
      </w:r>
      <w:hyperlink r:id="rId35" w:history="1">
        <w:r w:rsidRPr="000579D1">
          <w:rPr>
            <w:rStyle w:val="Hyperlink"/>
          </w:rPr>
          <w:t>https://www.washingtonpost.com/technology/interactive/2023/ai-jobs-workplace/</w:t>
        </w:r>
      </w:hyperlink>
      <w:r>
        <w:t xml:space="preserve">; Gretchen Tarrant, </w:t>
      </w:r>
      <w:r>
        <w:rPr>
          <w:i/>
          <w:iCs/>
        </w:rPr>
        <w:t>Generative AI Is Already Changing White-Collar Work as We Know It</w:t>
      </w:r>
      <w:r>
        <w:t xml:space="preserve">, Wall St. J. (Mar. 29, 2023), </w:t>
      </w:r>
      <w:r w:rsidRPr="00896E91">
        <w:t>https://www.wsj.com/articles/generative-ai-is-already-changing-white-collar-work-as-we-know-it-58b53918</w:t>
      </w:r>
      <w:r>
        <w:t>.</w:t>
      </w:r>
    </w:p>
  </w:footnote>
  <w:footnote w:id="196">
    <w:p w14:paraId="4C1E68B2" w14:textId="573FA533" w:rsidR="00896E91" w:rsidRPr="00896E91" w:rsidRDefault="00896E91">
      <w:pPr>
        <w:pStyle w:val="FootnoteText"/>
      </w:pPr>
      <w:r>
        <w:rPr>
          <w:rStyle w:val="FootnoteReference"/>
        </w:rPr>
        <w:footnoteRef/>
      </w:r>
      <w:r>
        <w:t xml:space="preserve"> </w:t>
      </w:r>
      <w:r>
        <w:rPr>
          <w:i/>
          <w:iCs/>
        </w:rPr>
        <w:t xml:space="preserve">But see </w:t>
      </w:r>
      <w:proofErr w:type="spellStart"/>
      <w:r>
        <w:t>Narechania</w:t>
      </w:r>
      <w:proofErr w:type="spellEnd"/>
      <w:r>
        <w:t xml:space="preserve">, </w:t>
      </w:r>
      <w:r>
        <w:rPr>
          <w:i/>
          <w:iCs/>
        </w:rPr>
        <w:t xml:space="preserve">supra </w:t>
      </w:r>
      <w:r>
        <w:t xml:space="preserve">note </w:t>
      </w:r>
      <w:r>
        <w:fldChar w:fldCharType="begin"/>
      </w:r>
      <w:r>
        <w:instrText xml:space="preserve"> NOTEREF _Ref142322531 \h </w:instrText>
      </w:r>
      <w:r>
        <w:fldChar w:fldCharType="separate"/>
      </w:r>
      <w:r>
        <w:t>116</w:t>
      </w:r>
      <w:r>
        <w:fldChar w:fldCharType="end"/>
      </w:r>
      <w:r>
        <w:t xml:space="preserve"> (arguing that AI does involve networks that function as a natural monopoly and suggesting that it should therefore be tightly regulated as a traditional utility).</w:t>
      </w:r>
    </w:p>
  </w:footnote>
  <w:footnote w:id="197">
    <w:p w14:paraId="03432E12" w14:textId="331C176D" w:rsidR="008F1039" w:rsidRPr="00BE4144" w:rsidRDefault="008F103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791A50" w:rsidRPr="00BE4144">
        <w:rPr>
          <w:rFonts w:cs="Times New Roman"/>
        </w:rPr>
        <w:t>Chat Plugins, https://platform.openai.com/docs/plugins/introduction.</w:t>
      </w:r>
    </w:p>
  </w:footnote>
  <w:footnote w:id="198">
    <w:p w14:paraId="62FC674F" w14:textId="1B1324BD" w:rsidR="00E003A3" w:rsidRPr="00BE4144" w:rsidRDefault="00E003A3"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Despite public fears about potential harms from AI, it is marching forward at a rapid pace. Contrast this with hydrogen, which also inspires public concern and has not yet been commercialized to a meaningful extent.</w:t>
      </w:r>
      <w:r w:rsidR="00864079" w:rsidRPr="00BE4144">
        <w:rPr>
          <w:rFonts w:cs="Times New Roman"/>
        </w:rPr>
        <w:t xml:space="preserve">  How Americans think about artificial intelligence, Pew Research Center, Mar. 17, 2022, https://www.pewresearch.org/internet/2022/03/17/how-americans-think-about-artificial-intelligence/</w:t>
      </w:r>
      <w:r w:rsidRPr="00BE4144">
        <w:rPr>
          <w:rFonts w:cs="Times New Roman"/>
        </w:rPr>
        <w:t xml:space="preserve"> </w:t>
      </w:r>
      <w:r w:rsidR="00C236F0" w:rsidRPr="00BE4144">
        <w:rPr>
          <w:rFonts w:cs="Times New Roman"/>
        </w:rPr>
        <w:t>(“</w:t>
      </w:r>
      <w:r w:rsidR="00864079" w:rsidRPr="00BE4144">
        <w:rPr>
          <w:rFonts w:cs="Times New Roman"/>
        </w:rPr>
        <w:t>In broad strokes, a larger share of Americans say they are “more concerned than excited” by the increased use of AI in daily life than say the opposite.”).</w:t>
      </w:r>
    </w:p>
  </w:footnote>
  <w:footnote w:id="199">
    <w:p w14:paraId="762ECB14" w14:textId="71C731F7" w:rsidR="00A97FEB" w:rsidRPr="00BE4144" w:rsidRDefault="00A97FEB"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7B58C4" w:rsidRPr="00BE4144">
        <w:rPr>
          <w:rFonts w:cs="Times New Roman"/>
          <w:i/>
          <w:iCs/>
        </w:rPr>
        <w:t>Id</w:t>
      </w:r>
      <w:r w:rsidR="007B58C4" w:rsidRPr="00BE4144">
        <w:rPr>
          <w:rFonts w:cs="Times New Roman"/>
        </w:rPr>
        <w:t>. at 3 (</w:t>
      </w:r>
      <w:r w:rsidR="000B457F" w:rsidRPr="00BE4144">
        <w:rPr>
          <w:rFonts w:cs="Times New Roman"/>
        </w:rPr>
        <w:t xml:space="preserve">quoting </w:t>
      </w:r>
      <w:proofErr w:type="spellStart"/>
      <w:r w:rsidR="0004168C" w:rsidRPr="00BE4144">
        <w:rPr>
          <w:rFonts w:cs="Times New Roman"/>
        </w:rPr>
        <w:t>Ahskan</w:t>
      </w:r>
      <w:proofErr w:type="spellEnd"/>
      <w:r w:rsidR="0004168C" w:rsidRPr="00BE4144">
        <w:rPr>
          <w:rFonts w:cs="Times New Roman"/>
        </w:rPr>
        <w:t xml:space="preserve"> Soltani, former FTC Chief Technologist, now an </w:t>
      </w:r>
      <w:r w:rsidR="000B457F" w:rsidRPr="00BE4144">
        <w:rPr>
          <w:rFonts w:cs="Times New Roman"/>
        </w:rPr>
        <w:t xml:space="preserve">“independent researcher and technologist”). Ashkan </w:t>
      </w:r>
      <w:proofErr w:type="spellStart"/>
      <w:r w:rsidR="000B457F" w:rsidRPr="00BE4144">
        <w:rPr>
          <w:rFonts w:cs="Times New Roman"/>
        </w:rPr>
        <w:t>Sotani</w:t>
      </w:r>
      <w:proofErr w:type="spellEnd"/>
      <w:r w:rsidR="000B457F" w:rsidRPr="00BE4144">
        <w:rPr>
          <w:rFonts w:cs="Times New Roman"/>
        </w:rPr>
        <w:t>, https://ashkansoltani.org/.</w:t>
      </w:r>
    </w:p>
  </w:footnote>
  <w:footnote w:id="200">
    <w:p w14:paraId="7D6EF3A4" w14:textId="0FFD525C" w:rsidR="00DD772B" w:rsidRPr="00DD772B" w:rsidRDefault="00DD772B">
      <w:pPr>
        <w:pStyle w:val="FootnoteText"/>
      </w:pPr>
      <w:r>
        <w:rPr>
          <w:rStyle w:val="FootnoteReference"/>
        </w:rPr>
        <w:footnoteRef/>
      </w:r>
      <w:r>
        <w:t xml:space="preserve"> Allen, </w:t>
      </w:r>
      <w:r>
        <w:rPr>
          <w:i/>
          <w:iCs/>
        </w:rPr>
        <w:t xml:space="preserve">supra </w:t>
      </w:r>
      <w:r>
        <w:t xml:space="preserve">note </w:t>
      </w:r>
      <w:r w:rsidR="00B1482F">
        <w:fldChar w:fldCharType="begin"/>
      </w:r>
      <w:r w:rsidR="00B1482F">
        <w:instrText xml:space="preserve"> NOTEREF _Ref142232469 \h </w:instrText>
      </w:r>
      <w:r w:rsidR="00B1482F">
        <w:fldChar w:fldCharType="separate"/>
      </w:r>
      <w:r w:rsidR="00B1482F">
        <w:t>12</w:t>
      </w:r>
      <w:r w:rsidR="00B1482F">
        <w:fldChar w:fldCharType="end"/>
      </w:r>
      <w:r>
        <w:t xml:space="preserve">. </w:t>
      </w:r>
    </w:p>
  </w:footnote>
  <w:footnote w:id="201">
    <w:p w14:paraId="16408D7B" w14:textId="5CB1FF02" w:rsidR="00DD772B" w:rsidRPr="00DD772B" w:rsidRDefault="00DD772B">
      <w:pPr>
        <w:pStyle w:val="FootnoteText"/>
      </w:pPr>
      <w:r>
        <w:rPr>
          <w:rStyle w:val="FootnoteReference"/>
        </w:rPr>
        <w:footnoteRef/>
      </w:r>
      <w:r>
        <w:t xml:space="preserve"> </w:t>
      </w:r>
      <w:r>
        <w:rPr>
          <w:i/>
          <w:iCs/>
        </w:rPr>
        <w:t>Id</w:t>
      </w:r>
      <w:r>
        <w:t xml:space="preserve">. </w:t>
      </w:r>
    </w:p>
  </w:footnote>
  <w:footnote w:id="202">
    <w:p w14:paraId="60FA6B69" w14:textId="044D46FA" w:rsidR="00F327B8" w:rsidRPr="00BE4144" w:rsidRDefault="00F327B8"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DiResta, </w:t>
      </w:r>
      <w:r w:rsidRPr="00BE4144">
        <w:rPr>
          <w:rFonts w:cs="Times New Roman"/>
          <w:i/>
          <w:iCs/>
        </w:rPr>
        <w:t xml:space="preserve">supra </w:t>
      </w:r>
      <w:r w:rsidRPr="00BE4144">
        <w:rPr>
          <w:rFonts w:cs="Times New Roman"/>
        </w:rPr>
        <w:t xml:space="preserve">note </w:t>
      </w:r>
      <w:r w:rsidR="00B1482F">
        <w:rPr>
          <w:rFonts w:cs="Times New Roman"/>
        </w:rPr>
        <w:fldChar w:fldCharType="begin"/>
      </w:r>
      <w:r w:rsidR="00B1482F">
        <w:rPr>
          <w:rFonts w:cs="Times New Roman"/>
        </w:rPr>
        <w:instrText xml:space="preserve"> NOTEREF _Ref142256430 \h </w:instrText>
      </w:r>
      <w:r w:rsidR="00B1482F">
        <w:rPr>
          <w:rFonts w:cs="Times New Roman"/>
        </w:rPr>
      </w:r>
      <w:r w:rsidR="00B1482F">
        <w:rPr>
          <w:rFonts w:cs="Times New Roman"/>
        </w:rPr>
        <w:fldChar w:fldCharType="separate"/>
      </w:r>
      <w:r w:rsidR="00B1482F">
        <w:rPr>
          <w:rFonts w:cs="Times New Roman"/>
        </w:rPr>
        <w:t>80</w:t>
      </w:r>
      <w:r w:rsidR="00B1482F">
        <w:rPr>
          <w:rFonts w:cs="Times New Roman"/>
        </w:rPr>
        <w:fldChar w:fldCharType="end"/>
      </w:r>
      <w:r w:rsidRPr="00BE4144">
        <w:rPr>
          <w:rFonts w:cs="Times New Roman"/>
        </w:rPr>
        <w:t xml:space="preserve">. </w:t>
      </w:r>
    </w:p>
  </w:footnote>
  <w:footnote w:id="203">
    <w:p w14:paraId="040BAAB3" w14:textId="58F51C04" w:rsidR="002D6395" w:rsidRPr="00BE4144" w:rsidRDefault="002D6395"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204">
    <w:p w14:paraId="1A5E6FBF" w14:textId="23A89719" w:rsidR="000652E8" w:rsidRPr="00BE4144" w:rsidRDefault="000652E8"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4F7E29" w:rsidRPr="00BE4144">
        <w:rPr>
          <w:rFonts w:cs="Times New Roman"/>
        </w:rPr>
        <w:t>Joshua A. Goland, </w:t>
      </w:r>
      <w:r w:rsidR="004F7E29" w:rsidRPr="00BE4144">
        <w:rPr>
          <w:rFonts w:cs="Times New Roman"/>
          <w:i/>
          <w:iCs/>
        </w:rPr>
        <w:t xml:space="preserve">Algorithmic Disgorgement: Destruction of Artificial Intelligence Models as the FTC’s Newest Enforcement Tool </w:t>
      </w:r>
      <w:proofErr w:type="gramStart"/>
      <w:r w:rsidR="004F7E29" w:rsidRPr="00BE4144">
        <w:rPr>
          <w:rFonts w:cs="Times New Roman"/>
          <w:i/>
          <w:iCs/>
        </w:rPr>
        <w:t>For</w:t>
      </w:r>
      <w:proofErr w:type="gramEnd"/>
      <w:r w:rsidR="004F7E29" w:rsidRPr="00BE4144">
        <w:rPr>
          <w:rFonts w:cs="Times New Roman"/>
          <w:i/>
          <w:iCs/>
        </w:rPr>
        <w:t xml:space="preserve"> Bad Data</w:t>
      </w:r>
      <w:r w:rsidR="004F7E29" w:rsidRPr="00BE4144">
        <w:rPr>
          <w:rFonts w:cs="Times New Roman"/>
        </w:rPr>
        <w:t xml:space="preserve">, Richmond J. L. &amp; Tech </w:t>
      </w:r>
      <w:r w:rsidR="00F327B8" w:rsidRPr="00BE4144">
        <w:rPr>
          <w:rFonts w:cs="Times New Roman"/>
        </w:rPr>
        <w:t xml:space="preserve">1, 2 </w:t>
      </w:r>
      <w:r w:rsidR="004F7E29" w:rsidRPr="00BE4144">
        <w:rPr>
          <w:rFonts w:cs="Times New Roman"/>
        </w:rPr>
        <w:t>(2023)</w:t>
      </w:r>
      <w:r w:rsidR="00F327B8" w:rsidRPr="00BE4144">
        <w:rPr>
          <w:rFonts w:cs="Times New Roman"/>
        </w:rPr>
        <w:t xml:space="preserve">; DiResta, </w:t>
      </w:r>
      <w:r w:rsidR="00F327B8" w:rsidRPr="00BE4144">
        <w:rPr>
          <w:rFonts w:cs="Times New Roman"/>
          <w:i/>
          <w:iCs/>
        </w:rPr>
        <w:t xml:space="preserve">supra </w:t>
      </w:r>
      <w:r w:rsidR="00F327B8" w:rsidRPr="00BE4144">
        <w:rPr>
          <w:rFonts w:cs="Times New Roman"/>
        </w:rPr>
        <w:t xml:space="preserve">note </w:t>
      </w:r>
      <w:r w:rsidR="00B1482F">
        <w:rPr>
          <w:rFonts w:cs="Times New Roman"/>
        </w:rPr>
        <w:fldChar w:fldCharType="begin"/>
      </w:r>
      <w:r w:rsidR="00B1482F">
        <w:rPr>
          <w:rFonts w:cs="Times New Roman"/>
        </w:rPr>
        <w:instrText xml:space="preserve"> NOTEREF _Ref142256430 \h </w:instrText>
      </w:r>
      <w:r w:rsidR="00B1482F">
        <w:rPr>
          <w:rFonts w:cs="Times New Roman"/>
        </w:rPr>
      </w:r>
      <w:r w:rsidR="00B1482F">
        <w:rPr>
          <w:rFonts w:cs="Times New Roman"/>
        </w:rPr>
        <w:fldChar w:fldCharType="separate"/>
      </w:r>
      <w:r w:rsidR="00B1482F">
        <w:rPr>
          <w:rFonts w:cs="Times New Roman"/>
        </w:rPr>
        <w:t>80</w:t>
      </w:r>
      <w:r w:rsidR="00B1482F">
        <w:rPr>
          <w:rFonts w:cs="Times New Roman"/>
        </w:rPr>
        <w:fldChar w:fldCharType="end"/>
      </w:r>
      <w:r w:rsidR="00F327B8" w:rsidRPr="00BE4144">
        <w:rPr>
          <w:rFonts w:cs="Times New Roman"/>
        </w:rPr>
        <w:t xml:space="preserve">. </w:t>
      </w:r>
    </w:p>
  </w:footnote>
  <w:footnote w:id="205">
    <w:p w14:paraId="049369C9" w14:textId="31AFEE6C" w:rsidR="00EF5F6F" w:rsidRPr="00BE4144" w:rsidRDefault="00EF5F6F" w:rsidP="00BE4144">
      <w:pPr>
        <w:pStyle w:val="FootnoteText"/>
        <w:jc w:val="both"/>
        <w:rPr>
          <w:rFonts w:cs="Times New Roman"/>
        </w:rPr>
      </w:pPr>
      <w:r w:rsidRPr="00BE4144">
        <w:rPr>
          <w:rStyle w:val="FootnoteReference"/>
          <w:rFonts w:cs="Times New Roman"/>
        </w:rPr>
        <w:footnoteRef/>
      </w:r>
      <w:r w:rsidR="0020288A" w:rsidRPr="00BE4144">
        <w:rPr>
          <w:rFonts w:cs="Times New Roman"/>
        </w:rPr>
        <w:t xml:space="preserve"> Jess </w:t>
      </w:r>
      <w:proofErr w:type="spellStart"/>
      <w:r w:rsidR="0020288A" w:rsidRPr="00BE4144">
        <w:rPr>
          <w:rFonts w:cs="Times New Roman"/>
        </w:rPr>
        <w:t>Weatherbed</w:t>
      </w:r>
      <w:proofErr w:type="spellEnd"/>
      <w:r w:rsidR="0020288A" w:rsidRPr="00BE4144">
        <w:rPr>
          <w:rFonts w:cs="Times New Roman"/>
        </w:rPr>
        <w:t xml:space="preserve">, OpenAI’s regulatory </w:t>
      </w:r>
      <w:proofErr w:type="spellStart"/>
      <w:r w:rsidR="0020288A" w:rsidRPr="00BE4144">
        <w:rPr>
          <w:rFonts w:cs="Times New Roman"/>
        </w:rPr>
        <w:t>troubls</w:t>
      </w:r>
      <w:proofErr w:type="spellEnd"/>
      <w:r w:rsidR="0020288A" w:rsidRPr="00BE4144">
        <w:rPr>
          <w:rFonts w:cs="Times New Roman"/>
        </w:rPr>
        <w:t xml:space="preserve"> are only just beginning, </w:t>
      </w:r>
      <w:r w:rsidR="0020288A" w:rsidRPr="00403D85">
        <w:rPr>
          <w:rFonts w:cs="Times New Roman"/>
          <w:smallCaps/>
        </w:rPr>
        <w:t>The Verge</w:t>
      </w:r>
      <w:r w:rsidR="0020288A" w:rsidRPr="00BE4144">
        <w:rPr>
          <w:rFonts w:cs="Times New Roman"/>
        </w:rPr>
        <w:t>, May 5, 2023, https://www.theverge.com/2023/5/5/23709833/openai-chatgpt-gdpr-ai-regulation-europe-eu-italy;</w:t>
      </w:r>
      <w:r w:rsidRPr="00BE4144">
        <w:rPr>
          <w:rFonts w:cs="Times New Roman"/>
        </w:rPr>
        <w:t xml:space="preserve"> </w:t>
      </w:r>
      <w:proofErr w:type="spellStart"/>
      <w:r w:rsidR="00BC340C" w:rsidRPr="00BE4144">
        <w:rPr>
          <w:rFonts w:cs="Times New Roman"/>
        </w:rPr>
        <w:t>Intelligenza</w:t>
      </w:r>
      <w:proofErr w:type="spellEnd"/>
      <w:r w:rsidR="00BC340C" w:rsidRPr="00BE4144">
        <w:rPr>
          <w:rFonts w:cs="Times New Roman"/>
        </w:rPr>
        <w:t xml:space="preserve"> </w:t>
      </w:r>
      <w:proofErr w:type="spellStart"/>
      <w:r w:rsidR="00BC340C" w:rsidRPr="00BE4144">
        <w:rPr>
          <w:rFonts w:cs="Times New Roman"/>
        </w:rPr>
        <w:t>artificiale</w:t>
      </w:r>
      <w:proofErr w:type="spellEnd"/>
      <w:r w:rsidR="00BC340C" w:rsidRPr="00BE4144">
        <w:rPr>
          <w:rFonts w:cs="Times New Roman"/>
        </w:rPr>
        <w:t xml:space="preserve">: il </w:t>
      </w:r>
      <w:proofErr w:type="spellStart"/>
      <w:r w:rsidR="00BC340C" w:rsidRPr="00BE4144">
        <w:rPr>
          <w:rFonts w:cs="Times New Roman"/>
        </w:rPr>
        <w:t>Garante</w:t>
      </w:r>
      <w:proofErr w:type="spellEnd"/>
      <w:r w:rsidR="00BC340C" w:rsidRPr="00BE4144">
        <w:rPr>
          <w:rFonts w:cs="Times New Roman"/>
        </w:rPr>
        <w:t xml:space="preserve"> </w:t>
      </w:r>
      <w:proofErr w:type="spellStart"/>
      <w:r w:rsidR="00BC340C" w:rsidRPr="00BE4144">
        <w:rPr>
          <w:rFonts w:cs="Times New Roman"/>
        </w:rPr>
        <w:t>blocca</w:t>
      </w:r>
      <w:proofErr w:type="spellEnd"/>
      <w:r w:rsidR="00BC340C" w:rsidRPr="00BE4144">
        <w:rPr>
          <w:rFonts w:cs="Times New Roman"/>
        </w:rPr>
        <w:t xml:space="preserve"> Chat GPT. </w:t>
      </w:r>
      <w:proofErr w:type="spellStart"/>
      <w:r w:rsidR="00BC340C" w:rsidRPr="00BE4144">
        <w:rPr>
          <w:rFonts w:cs="Times New Roman"/>
        </w:rPr>
        <w:t>Raccolta</w:t>
      </w:r>
      <w:proofErr w:type="spellEnd"/>
      <w:r w:rsidR="00BC340C" w:rsidRPr="00BE4144">
        <w:rPr>
          <w:rFonts w:cs="Times New Roman"/>
        </w:rPr>
        <w:t xml:space="preserve"> </w:t>
      </w:r>
      <w:proofErr w:type="spellStart"/>
      <w:r w:rsidR="00BC340C" w:rsidRPr="00BE4144">
        <w:rPr>
          <w:rFonts w:cs="Times New Roman"/>
        </w:rPr>
        <w:t>illecita</w:t>
      </w:r>
      <w:proofErr w:type="spellEnd"/>
      <w:r w:rsidR="00BC340C" w:rsidRPr="00BE4144">
        <w:rPr>
          <w:rFonts w:cs="Times New Roman"/>
        </w:rPr>
        <w:t xml:space="preserve"> di </w:t>
      </w:r>
      <w:proofErr w:type="spellStart"/>
      <w:r w:rsidR="00BC340C" w:rsidRPr="00BE4144">
        <w:rPr>
          <w:rFonts w:cs="Times New Roman"/>
        </w:rPr>
        <w:t>dati</w:t>
      </w:r>
      <w:proofErr w:type="spellEnd"/>
      <w:r w:rsidR="00BC340C" w:rsidRPr="00BE4144">
        <w:rPr>
          <w:rFonts w:cs="Times New Roman"/>
        </w:rPr>
        <w:t xml:space="preserve"> </w:t>
      </w:r>
      <w:proofErr w:type="spellStart"/>
      <w:r w:rsidR="00BC340C" w:rsidRPr="00BE4144">
        <w:rPr>
          <w:rFonts w:cs="Times New Roman"/>
        </w:rPr>
        <w:t>personali</w:t>
      </w:r>
      <w:proofErr w:type="spellEnd"/>
      <w:r w:rsidR="00BC340C" w:rsidRPr="00BE4144">
        <w:rPr>
          <w:rFonts w:cs="Times New Roman"/>
        </w:rPr>
        <w:t xml:space="preserve">. Assenza di </w:t>
      </w:r>
      <w:proofErr w:type="spellStart"/>
      <w:r w:rsidR="00BC340C" w:rsidRPr="00BE4144">
        <w:rPr>
          <w:rFonts w:cs="Times New Roman"/>
        </w:rPr>
        <w:t>sistemi</w:t>
      </w:r>
      <w:proofErr w:type="spellEnd"/>
      <w:r w:rsidR="00BC340C" w:rsidRPr="00BE4144">
        <w:rPr>
          <w:rFonts w:cs="Times New Roman"/>
        </w:rPr>
        <w:t xml:space="preserve"> per la </w:t>
      </w:r>
      <w:proofErr w:type="spellStart"/>
      <w:r w:rsidR="00BC340C" w:rsidRPr="00BE4144">
        <w:rPr>
          <w:rFonts w:cs="Times New Roman"/>
        </w:rPr>
        <w:t>verifica</w:t>
      </w:r>
      <w:proofErr w:type="spellEnd"/>
      <w:r w:rsidR="00BC340C" w:rsidRPr="00BE4144">
        <w:rPr>
          <w:rFonts w:cs="Times New Roman"/>
        </w:rPr>
        <w:t xml:space="preserve"> </w:t>
      </w:r>
      <w:proofErr w:type="spellStart"/>
      <w:r w:rsidR="00BC340C" w:rsidRPr="00BE4144">
        <w:rPr>
          <w:rFonts w:cs="Times New Roman"/>
        </w:rPr>
        <w:t>dell’eta</w:t>
      </w:r>
      <w:proofErr w:type="spellEnd"/>
      <w:r w:rsidR="00BC340C" w:rsidRPr="00BE4144">
        <w:rPr>
          <w:rFonts w:cs="Times New Roman"/>
        </w:rPr>
        <w:t xml:space="preserve"> </w:t>
      </w:r>
      <w:proofErr w:type="spellStart"/>
      <w:r w:rsidR="00BC340C" w:rsidRPr="00BE4144">
        <w:rPr>
          <w:rFonts w:cs="Times New Roman"/>
        </w:rPr>
        <w:t>dei</w:t>
      </w:r>
      <w:proofErr w:type="spellEnd"/>
      <w:r w:rsidR="00BC340C" w:rsidRPr="00BE4144">
        <w:rPr>
          <w:rFonts w:cs="Times New Roman"/>
        </w:rPr>
        <w:t xml:space="preserve"> </w:t>
      </w:r>
      <w:proofErr w:type="spellStart"/>
      <w:r w:rsidR="00BC340C" w:rsidRPr="00BE4144">
        <w:rPr>
          <w:rFonts w:cs="Times New Roman"/>
        </w:rPr>
        <w:t>minori</w:t>
      </w:r>
      <w:proofErr w:type="spellEnd"/>
      <w:r w:rsidR="001F1826" w:rsidRPr="00BE4144">
        <w:rPr>
          <w:rFonts w:cs="Times New Roman"/>
        </w:rPr>
        <w:t xml:space="preserve">, March 31, 2023, </w:t>
      </w:r>
      <w:hyperlink r:id="rId36" w:anchor="english" w:history="1">
        <w:r w:rsidR="001F1826" w:rsidRPr="00BE4144">
          <w:rPr>
            <w:rStyle w:val="Hyperlink"/>
            <w:rFonts w:cs="Times New Roman"/>
          </w:rPr>
          <w:t>https://www.garanteprivacy.it/home/docweb/-/docweb-display/docweb/9870847#english</w:t>
        </w:r>
      </w:hyperlink>
      <w:r w:rsidR="001F1826" w:rsidRPr="00BE4144">
        <w:rPr>
          <w:rFonts w:cs="Times New Roman"/>
        </w:rPr>
        <w:t xml:space="preserve">; </w:t>
      </w:r>
    </w:p>
  </w:footnote>
  <w:footnote w:id="206">
    <w:p w14:paraId="42C5488D" w14:textId="5A0FC946" w:rsidR="0020288A" w:rsidRPr="00BE4144" w:rsidRDefault="0020288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7E0E36" w:rsidRPr="00BE4144">
        <w:rPr>
          <w:rFonts w:cs="Times New Roman"/>
        </w:rPr>
        <w:t xml:space="preserve">Lauren Feiner, Open AI faces complaint </w:t>
      </w:r>
      <w:r w:rsidR="00A37B15" w:rsidRPr="00BE4144">
        <w:rPr>
          <w:rFonts w:cs="Times New Roman"/>
        </w:rPr>
        <w:t xml:space="preserve">to FTC that seeks investigation and suspension of ChatGPT releases, </w:t>
      </w:r>
      <w:r w:rsidR="00C61664" w:rsidRPr="00BE4144">
        <w:rPr>
          <w:rFonts w:cs="Times New Roman"/>
        </w:rPr>
        <w:t xml:space="preserve">CNBC, </w:t>
      </w:r>
      <w:r w:rsidR="00A37B15" w:rsidRPr="00BE4144">
        <w:rPr>
          <w:rFonts w:cs="Times New Roman"/>
        </w:rPr>
        <w:t xml:space="preserve">Apr. 17, 2023, </w:t>
      </w:r>
      <w:r w:rsidR="00C61664" w:rsidRPr="00BE4144">
        <w:rPr>
          <w:rFonts w:cs="Times New Roman"/>
        </w:rPr>
        <w:t>https://www.cnbc.com/2023/03/30/openai-faces-complaint-to-ftc-that-seeks-suspension-of-chatgpt-updates.html.</w:t>
      </w:r>
    </w:p>
  </w:footnote>
  <w:footnote w:id="207">
    <w:p w14:paraId="2DFECBD0" w14:textId="2DEAE8C3" w:rsidR="003D6A32" w:rsidRPr="00BE4144" w:rsidRDefault="003D6A32"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1F17FC" w:rsidRPr="00BE4144">
        <w:rPr>
          <w:rFonts w:cs="Times New Roman"/>
          <w:i/>
          <w:iCs/>
        </w:rPr>
        <w:t xml:space="preserve">Supra </w:t>
      </w:r>
      <w:r w:rsidR="001F17FC" w:rsidRPr="00BE4144">
        <w:rPr>
          <w:rFonts w:cs="Times New Roman"/>
        </w:rPr>
        <w:t xml:space="preserve">note 35. </w:t>
      </w:r>
    </w:p>
  </w:footnote>
  <w:footnote w:id="208">
    <w:p w14:paraId="67D52A96" w14:textId="231C149F" w:rsidR="008064C0" w:rsidRPr="00BE4144" w:rsidRDefault="008064C0" w:rsidP="00BE4144">
      <w:pPr>
        <w:pStyle w:val="FootnoteText"/>
        <w:jc w:val="both"/>
        <w:rPr>
          <w:rFonts w:cs="Times New Roman"/>
        </w:rPr>
      </w:pPr>
      <w:r w:rsidRPr="00BE4144">
        <w:rPr>
          <w:rStyle w:val="FootnoteReference"/>
          <w:rFonts w:cs="Times New Roman"/>
        </w:rPr>
        <w:footnoteRef/>
      </w:r>
      <w:r w:rsidR="00940106" w:rsidRPr="00BE4144">
        <w:rPr>
          <w:rFonts w:cs="Times New Roman"/>
        </w:rPr>
        <w:t xml:space="preserve"> Frontier Model Forum, OpenAI,</w:t>
      </w:r>
      <w:r w:rsidRPr="00BE4144">
        <w:rPr>
          <w:rFonts w:cs="Times New Roman"/>
        </w:rPr>
        <w:t xml:space="preserve"> </w:t>
      </w:r>
      <w:r w:rsidR="00940106" w:rsidRPr="00BE4144">
        <w:rPr>
          <w:rFonts w:cs="Times New Roman"/>
        </w:rPr>
        <w:t>https://openai.com/blog/frontier-model-forum.</w:t>
      </w:r>
      <w:r w:rsidRPr="00BE4144">
        <w:rPr>
          <w:rFonts w:cs="Times New Roman"/>
        </w:rPr>
        <w:t xml:space="preserve"> </w:t>
      </w:r>
    </w:p>
  </w:footnote>
  <w:footnote w:id="209">
    <w:p w14:paraId="219844A9" w14:textId="720F3A9C" w:rsidR="00863683" w:rsidRPr="00BE4144" w:rsidRDefault="00863683"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863328" w:rsidRPr="00BE4144">
        <w:rPr>
          <w:rFonts w:cs="Times New Roman"/>
        </w:rPr>
        <w:t>Usage Policies, OpenAI.com, https://openai.com/policies/usage-policies.</w:t>
      </w:r>
    </w:p>
  </w:footnote>
  <w:footnote w:id="210">
    <w:p w14:paraId="269672AC" w14:textId="15B96F5A" w:rsidR="00C6133D" w:rsidRPr="00BE4144" w:rsidRDefault="00C6133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D83805" w:rsidRPr="00BE4144">
        <w:rPr>
          <w:rFonts w:cs="Times New Roman"/>
        </w:rPr>
        <w:t xml:space="preserve">Usage policies, </w:t>
      </w:r>
      <w:r w:rsidR="00D83805" w:rsidRPr="00BE4144">
        <w:rPr>
          <w:rFonts w:cs="Times New Roman"/>
          <w:i/>
          <w:iCs/>
        </w:rPr>
        <w:t xml:space="preserve">supra </w:t>
      </w:r>
      <w:r w:rsidR="00D83805" w:rsidRPr="00BE4144">
        <w:rPr>
          <w:rFonts w:cs="Times New Roman"/>
        </w:rPr>
        <w:t xml:space="preserve">note </w:t>
      </w:r>
      <w:r w:rsidR="00B1482F">
        <w:rPr>
          <w:rFonts w:cs="Times New Roman"/>
        </w:rPr>
        <w:fldChar w:fldCharType="begin"/>
      </w:r>
      <w:r w:rsidR="00B1482F">
        <w:rPr>
          <w:rFonts w:cs="Times New Roman"/>
        </w:rPr>
        <w:instrText xml:space="preserve"> NOTEREF _Ref142256615 \h </w:instrText>
      </w:r>
      <w:r w:rsidR="00B1482F">
        <w:rPr>
          <w:rFonts w:cs="Times New Roman"/>
        </w:rPr>
      </w:r>
      <w:r w:rsidR="00B1482F">
        <w:rPr>
          <w:rFonts w:cs="Times New Roman"/>
        </w:rPr>
        <w:fldChar w:fldCharType="separate"/>
      </w:r>
      <w:r w:rsidR="00B1482F">
        <w:rPr>
          <w:rFonts w:cs="Times New Roman"/>
        </w:rPr>
        <w:t>206</w:t>
      </w:r>
      <w:r w:rsidR="00B1482F">
        <w:rPr>
          <w:rFonts w:cs="Times New Roman"/>
        </w:rPr>
        <w:fldChar w:fldCharType="end"/>
      </w:r>
      <w:r w:rsidR="00D83805" w:rsidRPr="00BE4144">
        <w:rPr>
          <w:rFonts w:cs="Times New Roman"/>
        </w:rPr>
        <w:t xml:space="preserve">. </w:t>
      </w:r>
    </w:p>
  </w:footnote>
  <w:footnote w:id="211">
    <w:p w14:paraId="77CFBCB1" w14:textId="215291D8" w:rsidR="008064C0" w:rsidRPr="00BE4144" w:rsidRDefault="008064C0"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B1482F" w:rsidRPr="00403D85">
        <w:rPr>
          <w:rFonts w:cs="Times New Roman"/>
          <w:smallCaps/>
        </w:rPr>
        <w:t xml:space="preserve">NIST, </w:t>
      </w:r>
      <w:r w:rsidRPr="00403D85">
        <w:rPr>
          <w:rFonts w:cs="Times New Roman"/>
          <w:smallCaps/>
        </w:rPr>
        <w:t>AI Risk Management Framework</w:t>
      </w:r>
      <w:r w:rsidRPr="00BE4144">
        <w:rPr>
          <w:rFonts w:cs="Times New Roman"/>
        </w:rPr>
        <w:t>, https://www.nist.gov/itl/ai-risk-management-framework.</w:t>
      </w:r>
    </w:p>
  </w:footnote>
  <w:footnote w:id="212">
    <w:p w14:paraId="140CE2BE" w14:textId="487E02E7" w:rsidR="00B2720D" w:rsidRPr="00BE4144" w:rsidRDefault="00B2720D"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65348F" w:rsidRPr="00BE4144">
        <w:rPr>
          <w:rFonts w:cs="Times New Roman"/>
          <w:i/>
          <w:iCs/>
        </w:rPr>
        <w:t>Id</w:t>
      </w:r>
      <w:r w:rsidR="0065348F" w:rsidRPr="00BE4144">
        <w:rPr>
          <w:rFonts w:cs="Times New Roman"/>
        </w:rPr>
        <w:t xml:space="preserve">. </w:t>
      </w:r>
    </w:p>
  </w:footnote>
  <w:footnote w:id="213">
    <w:p w14:paraId="54EB699F" w14:textId="77B1C2D6" w:rsidR="00721DA0" w:rsidRPr="00BE4144" w:rsidRDefault="00721DA0"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B1438" w:rsidRPr="00BE4144">
        <w:rPr>
          <w:rFonts w:cs="Times New Roman"/>
        </w:rPr>
        <w:t xml:space="preserve">Artificial Intelligence Risk Management Framework, </w:t>
      </w:r>
      <w:r w:rsidR="00FB1438" w:rsidRPr="00BE4144">
        <w:rPr>
          <w:rFonts w:cs="Times New Roman"/>
          <w:i/>
          <w:iCs/>
        </w:rPr>
        <w:t xml:space="preserve">supra </w:t>
      </w:r>
      <w:r w:rsidR="00FB1438" w:rsidRPr="00BE4144">
        <w:rPr>
          <w:rFonts w:cs="Times New Roman"/>
        </w:rPr>
        <w:t xml:space="preserve">note </w:t>
      </w:r>
      <w:r w:rsidR="00B1482F">
        <w:rPr>
          <w:rFonts w:cs="Times New Roman"/>
        </w:rPr>
        <w:fldChar w:fldCharType="begin"/>
      </w:r>
      <w:r w:rsidR="00B1482F">
        <w:rPr>
          <w:rFonts w:cs="Times New Roman"/>
        </w:rPr>
        <w:instrText xml:space="preserve"> NOTEREF _Ref142256686 \h </w:instrText>
      </w:r>
      <w:r w:rsidR="00B1482F">
        <w:rPr>
          <w:rFonts w:cs="Times New Roman"/>
        </w:rPr>
      </w:r>
      <w:r w:rsidR="00B1482F">
        <w:rPr>
          <w:rFonts w:cs="Times New Roman"/>
        </w:rPr>
        <w:fldChar w:fldCharType="separate"/>
      </w:r>
      <w:r w:rsidR="00B1482F">
        <w:rPr>
          <w:rFonts w:cs="Times New Roman"/>
        </w:rPr>
        <w:t>208</w:t>
      </w:r>
      <w:r w:rsidR="00B1482F">
        <w:rPr>
          <w:rFonts w:cs="Times New Roman"/>
        </w:rPr>
        <w:fldChar w:fldCharType="end"/>
      </w:r>
      <w:r w:rsidR="00FB1438" w:rsidRPr="00BE4144">
        <w:rPr>
          <w:rFonts w:cs="Times New Roman"/>
        </w:rPr>
        <w:t xml:space="preserve">, at 15-16. </w:t>
      </w:r>
    </w:p>
  </w:footnote>
  <w:footnote w:id="214">
    <w:p w14:paraId="26D7F5E3" w14:textId="51FE64C6" w:rsidR="00FB1438" w:rsidRPr="00BE4144" w:rsidRDefault="00FB1438"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at 16. </w:t>
      </w:r>
    </w:p>
  </w:footnote>
  <w:footnote w:id="215">
    <w:p w14:paraId="67EAD9AC" w14:textId="1072ED30" w:rsidR="00C874B6" w:rsidRPr="00BE4144" w:rsidRDefault="00C874B6"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Memorandum for the Heads of Executive Departments and Agencies</w:t>
      </w:r>
      <w:r w:rsidR="00D96C1C" w:rsidRPr="00BE4144">
        <w:rPr>
          <w:rFonts w:cs="Times New Roman"/>
        </w:rPr>
        <w:t xml:space="preserve"> from Russel T. Vought (</w:t>
      </w:r>
      <w:r w:rsidR="00326BF0" w:rsidRPr="00BE4144">
        <w:rPr>
          <w:rFonts w:cs="Times New Roman"/>
        </w:rPr>
        <w:t>final) at 2 (2020)</w:t>
      </w:r>
      <w:r w:rsidR="00D96C1C" w:rsidRPr="00BE4144">
        <w:rPr>
          <w:rFonts w:cs="Times New Roman"/>
        </w:rPr>
        <w:t xml:space="preserve">, </w:t>
      </w:r>
      <w:r w:rsidR="00326BF0" w:rsidRPr="00BE4144">
        <w:rPr>
          <w:rFonts w:cs="Times New Roman"/>
        </w:rPr>
        <w:t>https://www.whitehouse.gov/wp-content/uploads/2020/11/M-21-06.pdf.</w:t>
      </w:r>
    </w:p>
  </w:footnote>
  <w:footnote w:id="216">
    <w:p w14:paraId="03837A70" w14:textId="1C59C4FD" w:rsidR="00AF2A3F" w:rsidRPr="00BE4144" w:rsidRDefault="00AF2A3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at 2</w:t>
      </w:r>
      <w:r w:rsidR="001A421F" w:rsidRPr="00BE4144">
        <w:rPr>
          <w:rFonts w:cs="Times New Roman"/>
        </w:rPr>
        <w:t xml:space="preserve">. </w:t>
      </w:r>
    </w:p>
  </w:footnote>
  <w:footnote w:id="217">
    <w:p w14:paraId="6762F699" w14:textId="39A1FC4C" w:rsidR="00482E6F" w:rsidRPr="00BE4144" w:rsidRDefault="00482E6F"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1A421F" w:rsidRPr="00BE4144">
        <w:rPr>
          <w:rFonts w:cs="Times New Roman"/>
          <w:i/>
          <w:iCs/>
        </w:rPr>
        <w:t>Id</w:t>
      </w:r>
      <w:r w:rsidR="001A421F" w:rsidRPr="00BE4144">
        <w:rPr>
          <w:rFonts w:cs="Times New Roman"/>
        </w:rPr>
        <w:t xml:space="preserve">. at 3-6. </w:t>
      </w:r>
    </w:p>
  </w:footnote>
  <w:footnote w:id="218">
    <w:p w14:paraId="2C4D594E" w14:textId="20C5B066" w:rsidR="00166301" w:rsidRPr="00BE4144" w:rsidRDefault="00166301"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FC14FC" w:rsidRPr="00BE4144">
        <w:rPr>
          <w:rFonts w:cs="Times New Roman"/>
        </w:rPr>
        <w:t xml:space="preserve">Legislation and Executive Orders, </w:t>
      </w:r>
      <w:r w:rsidR="00104D7B" w:rsidRPr="00BE4144">
        <w:rPr>
          <w:rFonts w:cs="Times New Roman"/>
        </w:rPr>
        <w:t xml:space="preserve">National Artificial Intelligence Initiative Office, </w:t>
      </w:r>
      <w:r w:rsidR="0070098A" w:rsidRPr="00650632">
        <w:rPr>
          <w:rFonts w:cs="Times New Roman"/>
        </w:rPr>
        <w:t>https://www.ai.gov/legislation-and-executive-orders/#:~:text=Governing%20the%20use%20of%20AI,AI%20in%20the%20Federal%20Government</w:t>
      </w:r>
      <w:r w:rsidR="00104D7B" w:rsidRPr="00BE4144">
        <w:rPr>
          <w:rFonts w:cs="Times New Roman"/>
        </w:rPr>
        <w:t xml:space="preserve"> (citing AI in Government Act of 2020 and Executive Order 13960). </w:t>
      </w:r>
    </w:p>
  </w:footnote>
  <w:footnote w:id="219">
    <w:p w14:paraId="71840AF1" w14:textId="3E68E360" w:rsidR="00C30139" w:rsidRPr="00C30139" w:rsidRDefault="00C30139">
      <w:pPr>
        <w:pStyle w:val="FootnoteText"/>
      </w:pPr>
      <w:r>
        <w:rPr>
          <w:rStyle w:val="FootnoteReference"/>
        </w:rPr>
        <w:footnoteRef/>
      </w:r>
      <w:r>
        <w:t xml:space="preserve"> Allen, </w:t>
      </w:r>
      <w:r>
        <w:rPr>
          <w:i/>
          <w:iCs/>
        </w:rPr>
        <w:t xml:space="preserve">supra </w:t>
      </w:r>
      <w:r>
        <w:t xml:space="preserve">note xx (citing to the Clinical Laboratory Improvement Amendments of 1988). </w:t>
      </w:r>
    </w:p>
  </w:footnote>
  <w:footnote w:id="220">
    <w:p w14:paraId="377058C7" w14:textId="15C060BE" w:rsidR="003C5999" w:rsidRPr="00BE4144" w:rsidRDefault="003C5999"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NSF advances artificial intelligence research with new nationwide institutes, </w:t>
      </w:r>
      <w:r w:rsidRPr="00403D85">
        <w:rPr>
          <w:rFonts w:cs="Times New Roman"/>
          <w:smallCaps/>
        </w:rPr>
        <w:t xml:space="preserve">Natl. Sci. Found., </w:t>
      </w:r>
      <w:r w:rsidRPr="00BE4144">
        <w:rPr>
          <w:rFonts w:cs="Times New Roman"/>
        </w:rPr>
        <w:t>https://www.nsf.gov/news/special_reports/announcements/082620.jsp.</w:t>
      </w:r>
    </w:p>
  </w:footnote>
  <w:footnote w:id="221">
    <w:p w14:paraId="726CAD23" w14:textId="67FE5319" w:rsidR="00506A15" w:rsidRPr="00BE4144" w:rsidRDefault="00506A15"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C167BB" w:rsidRPr="00BE4144">
        <w:rPr>
          <w:rFonts w:cs="Times New Roman"/>
        </w:rPr>
        <w:t xml:space="preserve">Written Testimony of Sam Altman, Chief </w:t>
      </w:r>
      <w:r w:rsidR="00A17973" w:rsidRPr="00BE4144">
        <w:rPr>
          <w:rFonts w:cs="Times New Roman"/>
        </w:rPr>
        <w:t>Executive Officer, Open AI, https://www.judiciary.senate.gov/imo/media/doc/2023-05-16%20-%20Bio%20&amp;%20Testimony%20-%20Altman.pdf.</w:t>
      </w:r>
    </w:p>
  </w:footnote>
  <w:footnote w:id="222">
    <w:p w14:paraId="01B00EA4" w14:textId="712D1911" w:rsidR="002A0590" w:rsidRPr="00BE4144" w:rsidRDefault="002A0590"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p>
  </w:footnote>
  <w:footnote w:id="223">
    <w:p w14:paraId="552E7A12" w14:textId="798C94DC" w:rsidR="00DB45E5" w:rsidRPr="00BE4144" w:rsidRDefault="00DB45E5"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00DF79B9" w:rsidRPr="00BE4144">
        <w:rPr>
          <w:rFonts w:cs="Times New Roman"/>
        </w:rPr>
        <w:t xml:space="preserve">Meltzer, </w:t>
      </w:r>
      <w:r w:rsidR="00DF79B9" w:rsidRPr="00BE4144">
        <w:rPr>
          <w:rFonts w:cs="Times New Roman"/>
          <w:i/>
          <w:iCs/>
        </w:rPr>
        <w:t xml:space="preserve">supra </w:t>
      </w:r>
      <w:r w:rsidR="00DF79B9" w:rsidRPr="00BE4144">
        <w:rPr>
          <w:rFonts w:cs="Times New Roman"/>
        </w:rPr>
        <w:t xml:space="preserve">note </w:t>
      </w:r>
      <w:r w:rsidR="00455B67">
        <w:rPr>
          <w:rFonts w:cs="Times New Roman"/>
        </w:rPr>
        <w:fldChar w:fldCharType="begin"/>
      </w:r>
      <w:r w:rsidR="00455B67">
        <w:rPr>
          <w:rFonts w:cs="Times New Roman"/>
        </w:rPr>
        <w:instrText xml:space="preserve"> NOTEREF _Ref142256430 \h </w:instrText>
      </w:r>
      <w:r w:rsidR="00455B67">
        <w:rPr>
          <w:rFonts w:cs="Times New Roman"/>
        </w:rPr>
      </w:r>
      <w:r w:rsidR="00455B67">
        <w:rPr>
          <w:rFonts w:cs="Times New Roman"/>
        </w:rPr>
        <w:fldChar w:fldCharType="separate"/>
      </w:r>
      <w:r w:rsidR="00455B67">
        <w:rPr>
          <w:rFonts w:cs="Times New Roman"/>
        </w:rPr>
        <w:t>80</w:t>
      </w:r>
      <w:r w:rsidR="00455B67">
        <w:rPr>
          <w:rFonts w:cs="Times New Roman"/>
        </w:rPr>
        <w:fldChar w:fldCharType="end"/>
      </w:r>
      <w:r w:rsidR="00455B67">
        <w:rPr>
          <w:rFonts w:cs="Times New Roman"/>
        </w:rPr>
        <w:t xml:space="preserve"> </w:t>
      </w:r>
      <w:r w:rsidR="00DF79B9" w:rsidRPr="00BE4144">
        <w:rPr>
          <w:rFonts w:cs="Times New Roman"/>
        </w:rPr>
        <w:t xml:space="preserve">(describing and contrasting the testimony). </w:t>
      </w:r>
    </w:p>
  </w:footnote>
  <w:footnote w:id="224">
    <w:p w14:paraId="0A8D2750" w14:textId="316CFFDA" w:rsidR="0020277B" w:rsidRPr="00BE4144" w:rsidRDefault="0020277B"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cs="Times New Roman"/>
          <w:i/>
          <w:iCs/>
        </w:rPr>
        <w:t>Id</w:t>
      </w:r>
      <w:r w:rsidRPr="00BE4144">
        <w:rPr>
          <w:rFonts w:cs="Times New Roman"/>
        </w:rPr>
        <w:t xml:space="preserve">.; </w:t>
      </w:r>
      <w:r w:rsidR="00286DFA" w:rsidRPr="00BE4144">
        <w:rPr>
          <w:rFonts w:cs="Times New Roman"/>
        </w:rPr>
        <w:t xml:space="preserve">The Forum for Cooperation on Artificial Intelligence, </w:t>
      </w:r>
      <w:r w:rsidR="00286DFA" w:rsidRPr="00403D85">
        <w:rPr>
          <w:rFonts w:cs="Times New Roman"/>
          <w:smallCaps/>
        </w:rPr>
        <w:t>Brookings</w:t>
      </w:r>
      <w:r w:rsidR="00286DFA" w:rsidRPr="00BE4144">
        <w:rPr>
          <w:rFonts w:cs="Times New Roman"/>
        </w:rPr>
        <w:t>, https://www.brookings.edu/projects/the-forum-for-cooperation-on-artificial-intelligence/.</w:t>
      </w:r>
      <w:r w:rsidRPr="00BE4144">
        <w:rPr>
          <w:rFonts w:cs="Times New Roman"/>
        </w:rPr>
        <w:t xml:space="preserve"> </w:t>
      </w:r>
    </w:p>
  </w:footnote>
  <w:footnote w:id="225">
    <w:p w14:paraId="4329B4E2" w14:textId="2137A559" w:rsidR="0070098A" w:rsidRPr="00BE4144" w:rsidRDefault="0070098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 xml:space="preserve">Maher, </w:t>
      </w:r>
      <w:r w:rsidR="00455B67">
        <w:rPr>
          <w:rFonts w:eastAsia="Times New Roman" w:cs="Times New Roman"/>
          <w:i/>
          <w:iCs/>
          <w:color w:val="000000"/>
        </w:rPr>
        <w:t xml:space="preserve">supra </w:t>
      </w:r>
      <w:r w:rsidR="00455B67">
        <w:rPr>
          <w:rFonts w:eastAsia="Times New Roman" w:cs="Times New Roman"/>
          <w:color w:val="000000"/>
        </w:rPr>
        <w:t xml:space="preserve">note </w:t>
      </w:r>
      <w:r w:rsidR="00455B67">
        <w:rPr>
          <w:rFonts w:eastAsia="Times New Roman" w:cs="Times New Roman"/>
          <w:color w:val="000000"/>
        </w:rPr>
        <w:fldChar w:fldCharType="begin"/>
      </w:r>
      <w:r w:rsidR="00455B67">
        <w:rPr>
          <w:rFonts w:eastAsia="Times New Roman" w:cs="Times New Roman"/>
          <w:color w:val="000000"/>
        </w:rPr>
        <w:instrText xml:space="preserve"> NOTEREF _Ref142253893 \h </w:instrText>
      </w:r>
      <w:r w:rsidR="00455B67">
        <w:rPr>
          <w:rFonts w:eastAsia="Times New Roman" w:cs="Times New Roman"/>
          <w:color w:val="000000"/>
        </w:rPr>
      </w:r>
      <w:r w:rsidR="00455B67">
        <w:rPr>
          <w:rFonts w:eastAsia="Times New Roman" w:cs="Times New Roman"/>
          <w:color w:val="000000"/>
        </w:rPr>
        <w:fldChar w:fldCharType="separate"/>
      </w:r>
      <w:r w:rsidR="00455B67">
        <w:rPr>
          <w:rFonts w:eastAsia="Times New Roman" w:cs="Times New Roman"/>
          <w:color w:val="000000"/>
        </w:rPr>
        <w:t>120</w:t>
      </w:r>
      <w:r w:rsidR="00455B67">
        <w:rPr>
          <w:rFonts w:eastAsia="Times New Roman" w:cs="Times New Roman"/>
          <w:color w:val="000000"/>
        </w:rPr>
        <w:fldChar w:fldCharType="end"/>
      </w:r>
      <w:r w:rsidR="00455B67">
        <w:rPr>
          <w:rFonts w:eastAsia="Times New Roman" w:cs="Times New Roman"/>
          <w:color w:val="000000"/>
        </w:rPr>
        <w:t xml:space="preserve">, at </w:t>
      </w:r>
      <w:r w:rsidRPr="00BE4144">
        <w:rPr>
          <w:rFonts w:eastAsia="Times New Roman" w:cs="Times New Roman"/>
          <w:color w:val="000000"/>
        </w:rPr>
        <w:t>14.</w:t>
      </w:r>
    </w:p>
  </w:footnote>
  <w:footnote w:id="226">
    <w:p w14:paraId="3DFA861E" w14:textId="18C0031C" w:rsidR="0070098A" w:rsidRPr="00455B67" w:rsidRDefault="0070098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proofErr w:type="spellStart"/>
      <w:r w:rsidRPr="00BE4144">
        <w:rPr>
          <w:rFonts w:eastAsia="Times New Roman" w:cs="Times New Roman"/>
          <w:color w:val="000000"/>
        </w:rPr>
        <w:t>Koehr</w:t>
      </w:r>
      <w:proofErr w:type="spellEnd"/>
      <w:r w:rsidR="00455B67">
        <w:rPr>
          <w:rFonts w:eastAsia="Times New Roman" w:cs="Times New Roman"/>
          <w:color w:val="000000"/>
        </w:rPr>
        <w:t>,</w:t>
      </w:r>
      <w:r w:rsidRPr="00BE4144">
        <w:rPr>
          <w:rFonts w:eastAsia="Times New Roman" w:cs="Times New Roman"/>
          <w:color w:val="000000"/>
        </w:rPr>
        <w:t xml:space="preserve"> </w:t>
      </w:r>
      <w:r w:rsidR="00455B67">
        <w:rPr>
          <w:rFonts w:eastAsia="Times New Roman" w:cs="Times New Roman"/>
          <w:i/>
          <w:iCs/>
          <w:color w:val="000000"/>
        </w:rPr>
        <w:t xml:space="preserve">supra </w:t>
      </w:r>
      <w:r w:rsidR="00455B67">
        <w:rPr>
          <w:rFonts w:eastAsia="Times New Roman" w:cs="Times New Roman"/>
          <w:color w:val="000000"/>
        </w:rPr>
        <w:t xml:space="preserve">note </w:t>
      </w:r>
      <w:r w:rsidR="00455B67">
        <w:rPr>
          <w:rFonts w:eastAsia="Times New Roman" w:cs="Times New Roman"/>
          <w:color w:val="000000"/>
        </w:rPr>
        <w:fldChar w:fldCharType="begin"/>
      </w:r>
      <w:r w:rsidR="00455B67">
        <w:rPr>
          <w:rFonts w:eastAsia="Times New Roman" w:cs="Times New Roman"/>
          <w:color w:val="000000"/>
        </w:rPr>
        <w:instrText xml:space="preserve"> NOTEREF _Ref142252604 \h </w:instrText>
      </w:r>
      <w:r w:rsidR="00455B67">
        <w:rPr>
          <w:rFonts w:eastAsia="Times New Roman" w:cs="Times New Roman"/>
          <w:color w:val="000000"/>
        </w:rPr>
      </w:r>
      <w:r w:rsidR="00455B67">
        <w:rPr>
          <w:rFonts w:eastAsia="Times New Roman" w:cs="Times New Roman"/>
          <w:color w:val="000000"/>
        </w:rPr>
        <w:fldChar w:fldCharType="separate"/>
      </w:r>
      <w:r w:rsidR="00455B67">
        <w:rPr>
          <w:rFonts w:eastAsia="Times New Roman" w:cs="Times New Roman"/>
          <w:color w:val="000000"/>
        </w:rPr>
        <w:t>86</w:t>
      </w:r>
      <w:r w:rsidR="00455B67">
        <w:rPr>
          <w:rFonts w:eastAsia="Times New Roman" w:cs="Times New Roman"/>
          <w:color w:val="000000"/>
        </w:rPr>
        <w:fldChar w:fldCharType="end"/>
      </w:r>
      <w:r w:rsidR="00455B67">
        <w:rPr>
          <w:rFonts w:eastAsia="Times New Roman" w:cs="Times New Roman"/>
          <w:color w:val="000000"/>
        </w:rPr>
        <w:t>.</w:t>
      </w:r>
    </w:p>
  </w:footnote>
  <w:footnote w:id="227">
    <w:p w14:paraId="2C019DB9" w14:textId="63D81497" w:rsidR="0070098A" w:rsidRPr="00455B67" w:rsidRDefault="0070098A"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NIST</w:t>
      </w:r>
      <w:r w:rsidR="00455B67">
        <w:rPr>
          <w:rFonts w:eastAsia="Times New Roman" w:cs="Times New Roman"/>
          <w:color w:val="000000"/>
        </w:rPr>
        <w:t>,</w:t>
      </w:r>
      <w:r w:rsidRPr="00BE4144">
        <w:rPr>
          <w:rFonts w:eastAsia="Times New Roman" w:cs="Times New Roman"/>
          <w:color w:val="000000"/>
        </w:rPr>
        <w:t xml:space="preserve"> </w:t>
      </w:r>
      <w:r w:rsidR="00455B67">
        <w:rPr>
          <w:rFonts w:eastAsia="Times New Roman" w:cs="Times New Roman"/>
          <w:i/>
          <w:iCs/>
          <w:color w:val="000000"/>
        </w:rPr>
        <w:t xml:space="preserve">supra </w:t>
      </w:r>
      <w:r w:rsidR="00455B67">
        <w:rPr>
          <w:rFonts w:eastAsia="Times New Roman" w:cs="Times New Roman"/>
          <w:color w:val="000000"/>
        </w:rPr>
        <w:t xml:space="preserve">note </w:t>
      </w:r>
      <w:r w:rsidR="00455B67">
        <w:rPr>
          <w:rFonts w:eastAsia="Times New Roman" w:cs="Times New Roman"/>
          <w:color w:val="000000"/>
        </w:rPr>
        <w:fldChar w:fldCharType="begin"/>
      </w:r>
      <w:r w:rsidR="00455B67">
        <w:rPr>
          <w:rFonts w:eastAsia="Times New Roman" w:cs="Times New Roman"/>
          <w:color w:val="000000"/>
        </w:rPr>
        <w:instrText xml:space="preserve"> NOTEREF _Ref142256686 \h </w:instrText>
      </w:r>
      <w:r w:rsidR="00455B67">
        <w:rPr>
          <w:rFonts w:eastAsia="Times New Roman" w:cs="Times New Roman"/>
          <w:color w:val="000000"/>
        </w:rPr>
      </w:r>
      <w:r w:rsidR="00455B67">
        <w:rPr>
          <w:rFonts w:eastAsia="Times New Roman" w:cs="Times New Roman"/>
          <w:color w:val="000000"/>
        </w:rPr>
        <w:fldChar w:fldCharType="separate"/>
      </w:r>
      <w:r w:rsidR="00455B67">
        <w:rPr>
          <w:rFonts w:eastAsia="Times New Roman" w:cs="Times New Roman"/>
          <w:color w:val="000000"/>
        </w:rPr>
        <w:t>208</w:t>
      </w:r>
      <w:r w:rsidR="00455B67">
        <w:rPr>
          <w:rFonts w:eastAsia="Times New Roman" w:cs="Times New Roman"/>
          <w:color w:val="000000"/>
        </w:rPr>
        <w:fldChar w:fldCharType="end"/>
      </w:r>
      <w:r w:rsidR="00455B67">
        <w:rPr>
          <w:rFonts w:eastAsia="Times New Roman" w:cs="Times New Roman"/>
          <w:color w:val="000000"/>
        </w:rPr>
        <w:t>.</w:t>
      </w:r>
    </w:p>
  </w:footnote>
  <w:footnote w:id="228">
    <w:p w14:paraId="67EAAFE8" w14:textId="16191BBB" w:rsidR="00215D2E" w:rsidRPr="00BE4144" w:rsidRDefault="00215D2E"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(Lessig</w:t>
      </w:r>
      <w:r w:rsidR="00455B67">
        <w:rPr>
          <w:rFonts w:eastAsia="Times New Roman" w:cs="Times New Roman"/>
          <w:color w:val="000000"/>
        </w:rPr>
        <w:t xml:space="preserve">, </w:t>
      </w:r>
      <w:r w:rsidR="00455B67">
        <w:rPr>
          <w:rFonts w:eastAsia="Times New Roman" w:cs="Times New Roman"/>
          <w:i/>
          <w:iCs/>
          <w:color w:val="000000"/>
        </w:rPr>
        <w:t xml:space="preserve">supra </w:t>
      </w:r>
      <w:r w:rsidR="00455B67">
        <w:rPr>
          <w:rFonts w:eastAsia="Times New Roman" w:cs="Times New Roman"/>
          <w:color w:val="000000"/>
        </w:rPr>
        <w:t xml:space="preserve">note </w:t>
      </w:r>
      <w:r w:rsidR="00455B67">
        <w:rPr>
          <w:rFonts w:eastAsia="Times New Roman" w:cs="Times New Roman"/>
          <w:color w:val="000000"/>
        </w:rPr>
        <w:fldChar w:fldCharType="begin"/>
      </w:r>
      <w:r w:rsidR="00455B67">
        <w:rPr>
          <w:rFonts w:eastAsia="Times New Roman" w:cs="Times New Roman"/>
          <w:color w:val="000000"/>
        </w:rPr>
        <w:instrText xml:space="preserve"> NOTEREF _Ref142237925 \h </w:instrText>
      </w:r>
      <w:r w:rsidR="00455B67">
        <w:rPr>
          <w:rFonts w:eastAsia="Times New Roman" w:cs="Times New Roman"/>
          <w:color w:val="000000"/>
        </w:rPr>
      </w:r>
      <w:r w:rsidR="00455B67">
        <w:rPr>
          <w:rFonts w:eastAsia="Times New Roman" w:cs="Times New Roman"/>
          <w:color w:val="000000"/>
        </w:rPr>
        <w:fldChar w:fldCharType="separate"/>
      </w:r>
      <w:r w:rsidR="00455B67">
        <w:rPr>
          <w:rFonts w:eastAsia="Times New Roman" w:cs="Times New Roman"/>
          <w:color w:val="000000"/>
        </w:rPr>
        <w:t>96</w:t>
      </w:r>
      <w:r w:rsidR="00455B67">
        <w:rPr>
          <w:rFonts w:eastAsia="Times New Roman" w:cs="Times New Roman"/>
          <w:color w:val="000000"/>
        </w:rPr>
        <w:fldChar w:fldCharType="end"/>
      </w:r>
      <w:r w:rsidR="00455B67">
        <w:rPr>
          <w:rFonts w:eastAsia="Times New Roman" w:cs="Times New Roman"/>
          <w:color w:val="000000"/>
        </w:rPr>
        <w:t xml:space="preserve">, at </w:t>
      </w:r>
      <w:r w:rsidRPr="00BE4144">
        <w:rPr>
          <w:rFonts w:eastAsia="Times New Roman" w:cs="Times New Roman"/>
          <w:color w:val="000000"/>
        </w:rPr>
        <w:t>759-60.</w:t>
      </w:r>
    </w:p>
  </w:footnote>
  <w:footnote w:id="229">
    <w:p w14:paraId="221E84DE" w14:textId="2EC4B78B" w:rsidR="00534464" w:rsidRPr="00BE4144" w:rsidRDefault="00534464"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AI is a key component of self-driving vehicles. </w:t>
      </w:r>
    </w:p>
  </w:footnote>
  <w:footnote w:id="230">
    <w:p w14:paraId="04BB0065" w14:textId="03F31EC4" w:rsidR="0070595C" w:rsidRPr="00BE4144" w:rsidRDefault="0070595C"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(NHTSA 2022).</w:t>
      </w:r>
    </w:p>
  </w:footnote>
  <w:footnote w:id="231">
    <w:p w14:paraId="695FC40D" w14:textId="5BF2DD4C" w:rsidR="00CD3438" w:rsidRPr="00BE4144" w:rsidRDefault="00CD3438" w:rsidP="00BE4144">
      <w:pPr>
        <w:pStyle w:val="FootnoteText"/>
        <w:jc w:val="both"/>
        <w:rPr>
          <w:rFonts w:cs="Times New Roman"/>
        </w:rPr>
      </w:pPr>
      <w:r w:rsidRPr="00BE4144">
        <w:rPr>
          <w:rStyle w:val="FootnoteReference"/>
          <w:rFonts w:cs="Times New Roman"/>
        </w:rPr>
        <w:footnoteRef/>
      </w:r>
      <w:r w:rsidRPr="00BE4144">
        <w:rPr>
          <w:rFonts w:cs="Times New Roman"/>
        </w:rPr>
        <w:t xml:space="preserve"> </w:t>
      </w:r>
      <w:r w:rsidRPr="00BE4144">
        <w:rPr>
          <w:rFonts w:eastAsia="Times New Roman" w:cs="Times New Roman"/>
          <w:color w:val="000000"/>
        </w:rPr>
        <w:t>(NHTSA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544433"/>
      <w:docPartObj>
        <w:docPartGallery w:val="Page Numbers (Top of Page)"/>
        <w:docPartUnique/>
      </w:docPartObj>
    </w:sdtPr>
    <w:sdtEndPr>
      <w:rPr>
        <w:noProof/>
      </w:rPr>
    </w:sdtEndPr>
    <w:sdtContent>
      <w:p w14:paraId="3E793A10" w14:textId="78E30A2B" w:rsidR="00523783" w:rsidRDefault="00523783" w:rsidP="00523783">
        <w:pPr>
          <w:pStyle w:val="Header"/>
        </w:pPr>
        <w:r>
          <w:t xml:space="preserve">2022-23]                       </w:t>
        </w:r>
        <w:r w:rsidRPr="00523783">
          <w:rPr>
            <w:i/>
            <w:iCs/>
            <w:smallCaps/>
          </w:rPr>
          <w:t xml:space="preserve">Self-Regulation </w:t>
        </w:r>
        <w:r w:rsidR="007A506E">
          <w:rPr>
            <w:i/>
            <w:iCs/>
            <w:smallCaps/>
          </w:rPr>
          <w:t>and Innovation</w:t>
        </w:r>
        <w:r w:rsidR="00403D85">
          <w:rPr>
            <w:i/>
            <w:iCs/>
            <w:smallCaps/>
          </w:rPr>
          <w:t xml:space="preserve"> -- DRAFT</w:t>
        </w:r>
        <w:r>
          <w:tab/>
        </w:r>
        <w:r>
          <w:fldChar w:fldCharType="begin"/>
        </w:r>
        <w:r>
          <w:instrText xml:space="preserve"> PAGE   \* MERGEFORMAT </w:instrText>
        </w:r>
        <w:r>
          <w:fldChar w:fldCharType="separate"/>
        </w:r>
        <w:r>
          <w:rPr>
            <w:noProof/>
          </w:rPr>
          <w:t>2</w:t>
        </w:r>
        <w:r>
          <w:rPr>
            <w:noProof/>
          </w:rPr>
          <w:fldChar w:fldCharType="end"/>
        </w:r>
      </w:p>
    </w:sdtContent>
  </w:sdt>
  <w:p w14:paraId="4392A639" w14:textId="155379ED" w:rsidR="00EC79E0" w:rsidRPr="00EC79E0" w:rsidRDefault="00EC79E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0A1"/>
    <w:multiLevelType w:val="hybridMultilevel"/>
    <w:tmpl w:val="36A27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2084"/>
    <w:multiLevelType w:val="multilevel"/>
    <w:tmpl w:val="655E3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45321"/>
    <w:multiLevelType w:val="multilevel"/>
    <w:tmpl w:val="BB321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24603"/>
    <w:multiLevelType w:val="hybridMultilevel"/>
    <w:tmpl w:val="28BE865C"/>
    <w:lvl w:ilvl="0" w:tplc="0BFE8424">
      <w:start w:val="3"/>
      <w:numFmt w:val="lowerLetter"/>
      <w:lvlText w:val="%1."/>
      <w:lvlJc w:val="left"/>
      <w:pPr>
        <w:tabs>
          <w:tab w:val="num" w:pos="720"/>
        </w:tabs>
        <w:ind w:left="720" w:hanging="360"/>
      </w:pPr>
    </w:lvl>
    <w:lvl w:ilvl="1" w:tplc="D93EC2F8" w:tentative="1">
      <w:start w:val="1"/>
      <w:numFmt w:val="decimal"/>
      <w:lvlText w:val="%2."/>
      <w:lvlJc w:val="left"/>
      <w:pPr>
        <w:tabs>
          <w:tab w:val="num" w:pos="1440"/>
        </w:tabs>
        <w:ind w:left="1440" w:hanging="360"/>
      </w:pPr>
    </w:lvl>
    <w:lvl w:ilvl="2" w:tplc="246A690A" w:tentative="1">
      <w:start w:val="1"/>
      <w:numFmt w:val="decimal"/>
      <w:lvlText w:val="%3."/>
      <w:lvlJc w:val="left"/>
      <w:pPr>
        <w:tabs>
          <w:tab w:val="num" w:pos="2160"/>
        </w:tabs>
        <w:ind w:left="2160" w:hanging="360"/>
      </w:pPr>
    </w:lvl>
    <w:lvl w:ilvl="3" w:tplc="3E4E8CFA" w:tentative="1">
      <w:start w:val="1"/>
      <w:numFmt w:val="decimal"/>
      <w:lvlText w:val="%4."/>
      <w:lvlJc w:val="left"/>
      <w:pPr>
        <w:tabs>
          <w:tab w:val="num" w:pos="2880"/>
        </w:tabs>
        <w:ind w:left="2880" w:hanging="360"/>
      </w:pPr>
    </w:lvl>
    <w:lvl w:ilvl="4" w:tplc="C7DE033A" w:tentative="1">
      <w:start w:val="1"/>
      <w:numFmt w:val="decimal"/>
      <w:lvlText w:val="%5."/>
      <w:lvlJc w:val="left"/>
      <w:pPr>
        <w:tabs>
          <w:tab w:val="num" w:pos="3600"/>
        </w:tabs>
        <w:ind w:left="3600" w:hanging="360"/>
      </w:pPr>
    </w:lvl>
    <w:lvl w:ilvl="5" w:tplc="1BC22814" w:tentative="1">
      <w:start w:val="1"/>
      <w:numFmt w:val="decimal"/>
      <w:lvlText w:val="%6."/>
      <w:lvlJc w:val="left"/>
      <w:pPr>
        <w:tabs>
          <w:tab w:val="num" w:pos="4320"/>
        </w:tabs>
        <w:ind w:left="4320" w:hanging="360"/>
      </w:pPr>
    </w:lvl>
    <w:lvl w:ilvl="6" w:tplc="1564E6A4" w:tentative="1">
      <w:start w:val="1"/>
      <w:numFmt w:val="decimal"/>
      <w:lvlText w:val="%7."/>
      <w:lvlJc w:val="left"/>
      <w:pPr>
        <w:tabs>
          <w:tab w:val="num" w:pos="5040"/>
        </w:tabs>
        <w:ind w:left="5040" w:hanging="360"/>
      </w:pPr>
    </w:lvl>
    <w:lvl w:ilvl="7" w:tplc="DA64BBAE" w:tentative="1">
      <w:start w:val="1"/>
      <w:numFmt w:val="decimal"/>
      <w:lvlText w:val="%8."/>
      <w:lvlJc w:val="left"/>
      <w:pPr>
        <w:tabs>
          <w:tab w:val="num" w:pos="5760"/>
        </w:tabs>
        <w:ind w:left="5760" w:hanging="360"/>
      </w:pPr>
    </w:lvl>
    <w:lvl w:ilvl="8" w:tplc="B1EE8A82" w:tentative="1">
      <w:start w:val="1"/>
      <w:numFmt w:val="decimal"/>
      <w:lvlText w:val="%9."/>
      <w:lvlJc w:val="left"/>
      <w:pPr>
        <w:tabs>
          <w:tab w:val="num" w:pos="6480"/>
        </w:tabs>
        <w:ind w:left="6480" w:hanging="360"/>
      </w:pPr>
    </w:lvl>
  </w:abstractNum>
  <w:abstractNum w:abstractNumId="4" w15:restartNumberingAfterBreak="0">
    <w:nsid w:val="132659CA"/>
    <w:multiLevelType w:val="multilevel"/>
    <w:tmpl w:val="D2E42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B7BAB"/>
    <w:multiLevelType w:val="hybridMultilevel"/>
    <w:tmpl w:val="8E8AACA0"/>
    <w:lvl w:ilvl="0" w:tplc="1960C034">
      <w:start w:val="1"/>
      <w:numFmt w:val="upperRoman"/>
      <w:lvlText w:val="%1."/>
      <w:lvlJc w:val="left"/>
      <w:pPr>
        <w:ind w:left="1020" w:hanging="720"/>
      </w:pPr>
      <w:rPr>
        <w:rFonts w:ascii="Times New Roman" w:hAnsi="Times New Roman" w:cs="Times New Roman" w:hint="default"/>
        <w:color w:val="auto"/>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ECF219E"/>
    <w:multiLevelType w:val="hybridMultilevel"/>
    <w:tmpl w:val="FC54C5E8"/>
    <w:lvl w:ilvl="0" w:tplc="9BBAB44A">
      <w:start w:val="1"/>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44DB9"/>
    <w:multiLevelType w:val="hybridMultilevel"/>
    <w:tmpl w:val="E0C2FF96"/>
    <w:lvl w:ilvl="0" w:tplc="C540D30C">
      <w:start w:val="2"/>
      <w:numFmt w:val="lowerLetter"/>
      <w:lvlText w:val="%1."/>
      <w:lvlJc w:val="left"/>
      <w:pPr>
        <w:tabs>
          <w:tab w:val="num" w:pos="1800"/>
        </w:tabs>
        <w:ind w:left="1800" w:hanging="360"/>
      </w:pPr>
    </w:lvl>
    <w:lvl w:ilvl="1" w:tplc="0624094E" w:tentative="1">
      <w:start w:val="1"/>
      <w:numFmt w:val="decimal"/>
      <w:lvlText w:val="%2."/>
      <w:lvlJc w:val="left"/>
      <w:pPr>
        <w:tabs>
          <w:tab w:val="num" w:pos="2520"/>
        </w:tabs>
        <w:ind w:left="2520" w:hanging="360"/>
      </w:pPr>
    </w:lvl>
    <w:lvl w:ilvl="2" w:tplc="69CC12D6" w:tentative="1">
      <w:start w:val="1"/>
      <w:numFmt w:val="decimal"/>
      <w:lvlText w:val="%3."/>
      <w:lvlJc w:val="left"/>
      <w:pPr>
        <w:tabs>
          <w:tab w:val="num" w:pos="3240"/>
        </w:tabs>
        <w:ind w:left="3240" w:hanging="360"/>
      </w:pPr>
    </w:lvl>
    <w:lvl w:ilvl="3" w:tplc="1206F628" w:tentative="1">
      <w:start w:val="1"/>
      <w:numFmt w:val="decimal"/>
      <w:lvlText w:val="%4."/>
      <w:lvlJc w:val="left"/>
      <w:pPr>
        <w:tabs>
          <w:tab w:val="num" w:pos="3960"/>
        </w:tabs>
        <w:ind w:left="3960" w:hanging="360"/>
      </w:pPr>
    </w:lvl>
    <w:lvl w:ilvl="4" w:tplc="0206DD72" w:tentative="1">
      <w:start w:val="1"/>
      <w:numFmt w:val="decimal"/>
      <w:lvlText w:val="%5."/>
      <w:lvlJc w:val="left"/>
      <w:pPr>
        <w:tabs>
          <w:tab w:val="num" w:pos="4680"/>
        </w:tabs>
        <w:ind w:left="4680" w:hanging="360"/>
      </w:pPr>
    </w:lvl>
    <w:lvl w:ilvl="5" w:tplc="EC96C458" w:tentative="1">
      <w:start w:val="1"/>
      <w:numFmt w:val="decimal"/>
      <w:lvlText w:val="%6."/>
      <w:lvlJc w:val="left"/>
      <w:pPr>
        <w:tabs>
          <w:tab w:val="num" w:pos="5400"/>
        </w:tabs>
        <w:ind w:left="5400" w:hanging="360"/>
      </w:pPr>
    </w:lvl>
    <w:lvl w:ilvl="6" w:tplc="0686A284" w:tentative="1">
      <w:start w:val="1"/>
      <w:numFmt w:val="decimal"/>
      <w:lvlText w:val="%7."/>
      <w:lvlJc w:val="left"/>
      <w:pPr>
        <w:tabs>
          <w:tab w:val="num" w:pos="6120"/>
        </w:tabs>
        <w:ind w:left="6120" w:hanging="360"/>
      </w:pPr>
    </w:lvl>
    <w:lvl w:ilvl="7" w:tplc="0A768DA2" w:tentative="1">
      <w:start w:val="1"/>
      <w:numFmt w:val="decimal"/>
      <w:lvlText w:val="%8."/>
      <w:lvlJc w:val="left"/>
      <w:pPr>
        <w:tabs>
          <w:tab w:val="num" w:pos="6840"/>
        </w:tabs>
        <w:ind w:left="6840" w:hanging="360"/>
      </w:pPr>
    </w:lvl>
    <w:lvl w:ilvl="8" w:tplc="23BA228C" w:tentative="1">
      <w:start w:val="1"/>
      <w:numFmt w:val="decimal"/>
      <w:lvlText w:val="%9."/>
      <w:lvlJc w:val="left"/>
      <w:pPr>
        <w:tabs>
          <w:tab w:val="num" w:pos="7560"/>
        </w:tabs>
        <w:ind w:left="7560" w:hanging="360"/>
      </w:pPr>
    </w:lvl>
  </w:abstractNum>
  <w:abstractNum w:abstractNumId="8" w15:restartNumberingAfterBreak="0">
    <w:nsid w:val="1FFE0D4D"/>
    <w:multiLevelType w:val="multilevel"/>
    <w:tmpl w:val="F73A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4040A"/>
    <w:multiLevelType w:val="multilevel"/>
    <w:tmpl w:val="30D4C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30060"/>
    <w:multiLevelType w:val="multilevel"/>
    <w:tmpl w:val="18828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743974"/>
    <w:multiLevelType w:val="hybridMultilevel"/>
    <w:tmpl w:val="D1DA519C"/>
    <w:lvl w:ilvl="0" w:tplc="47DC235E">
      <w:start w:val="3"/>
      <w:numFmt w:val="lowerLetter"/>
      <w:lvlText w:val="%1."/>
      <w:lvlJc w:val="left"/>
      <w:pPr>
        <w:tabs>
          <w:tab w:val="num" w:pos="1800"/>
        </w:tabs>
        <w:ind w:left="1800" w:hanging="360"/>
      </w:pPr>
    </w:lvl>
    <w:lvl w:ilvl="1" w:tplc="155CF1E6" w:tentative="1">
      <w:start w:val="1"/>
      <w:numFmt w:val="decimal"/>
      <w:lvlText w:val="%2."/>
      <w:lvlJc w:val="left"/>
      <w:pPr>
        <w:tabs>
          <w:tab w:val="num" w:pos="2520"/>
        </w:tabs>
        <w:ind w:left="2520" w:hanging="360"/>
      </w:pPr>
    </w:lvl>
    <w:lvl w:ilvl="2" w:tplc="9E64DDA0" w:tentative="1">
      <w:start w:val="1"/>
      <w:numFmt w:val="decimal"/>
      <w:lvlText w:val="%3."/>
      <w:lvlJc w:val="left"/>
      <w:pPr>
        <w:tabs>
          <w:tab w:val="num" w:pos="3240"/>
        </w:tabs>
        <w:ind w:left="3240" w:hanging="360"/>
      </w:pPr>
    </w:lvl>
    <w:lvl w:ilvl="3" w:tplc="CF92BF82" w:tentative="1">
      <w:start w:val="1"/>
      <w:numFmt w:val="decimal"/>
      <w:lvlText w:val="%4."/>
      <w:lvlJc w:val="left"/>
      <w:pPr>
        <w:tabs>
          <w:tab w:val="num" w:pos="3960"/>
        </w:tabs>
        <w:ind w:left="3960" w:hanging="360"/>
      </w:pPr>
    </w:lvl>
    <w:lvl w:ilvl="4" w:tplc="5936EA7E" w:tentative="1">
      <w:start w:val="1"/>
      <w:numFmt w:val="decimal"/>
      <w:lvlText w:val="%5."/>
      <w:lvlJc w:val="left"/>
      <w:pPr>
        <w:tabs>
          <w:tab w:val="num" w:pos="4680"/>
        </w:tabs>
        <w:ind w:left="4680" w:hanging="360"/>
      </w:pPr>
    </w:lvl>
    <w:lvl w:ilvl="5" w:tplc="685064FA" w:tentative="1">
      <w:start w:val="1"/>
      <w:numFmt w:val="decimal"/>
      <w:lvlText w:val="%6."/>
      <w:lvlJc w:val="left"/>
      <w:pPr>
        <w:tabs>
          <w:tab w:val="num" w:pos="5400"/>
        </w:tabs>
        <w:ind w:left="5400" w:hanging="360"/>
      </w:pPr>
    </w:lvl>
    <w:lvl w:ilvl="6" w:tplc="566CE162" w:tentative="1">
      <w:start w:val="1"/>
      <w:numFmt w:val="decimal"/>
      <w:lvlText w:val="%7."/>
      <w:lvlJc w:val="left"/>
      <w:pPr>
        <w:tabs>
          <w:tab w:val="num" w:pos="6120"/>
        </w:tabs>
        <w:ind w:left="6120" w:hanging="360"/>
      </w:pPr>
    </w:lvl>
    <w:lvl w:ilvl="7" w:tplc="198ED2B2" w:tentative="1">
      <w:start w:val="1"/>
      <w:numFmt w:val="decimal"/>
      <w:lvlText w:val="%8."/>
      <w:lvlJc w:val="left"/>
      <w:pPr>
        <w:tabs>
          <w:tab w:val="num" w:pos="6840"/>
        </w:tabs>
        <w:ind w:left="6840" w:hanging="360"/>
      </w:pPr>
    </w:lvl>
    <w:lvl w:ilvl="8" w:tplc="780867CE" w:tentative="1">
      <w:start w:val="1"/>
      <w:numFmt w:val="decimal"/>
      <w:lvlText w:val="%9."/>
      <w:lvlJc w:val="left"/>
      <w:pPr>
        <w:tabs>
          <w:tab w:val="num" w:pos="7560"/>
        </w:tabs>
        <w:ind w:left="7560" w:hanging="360"/>
      </w:pPr>
    </w:lvl>
  </w:abstractNum>
  <w:abstractNum w:abstractNumId="12" w15:restartNumberingAfterBreak="0">
    <w:nsid w:val="319318DA"/>
    <w:multiLevelType w:val="multilevel"/>
    <w:tmpl w:val="3C503E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517F1"/>
    <w:multiLevelType w:val="hybridMultilevel"/>
    <w:tmpl w:val="505649D4"/>
    <w:lvl w:ilvl="0" w:tplc="C486C2B4">
      <w:start w:val="2"/>
      <w:numFmt w:val="upperRoman"/>
      <w:lvlText w:val="%1."/>
      <w:lvlJc w:val="right"/>
      <w:pPr>
        <w:tabs>
          <w:tab w:val="num" w:pos="720"/>
        </w:tabs>
        <w:ind w:left="720" w:hanging="360"/>
      </w:pPr>
    </w:lvl>
    <w:lvl w:ilvl="1" w:tplc="1480DAA4" w:tentative="1">
      <w:start w:val="1"/>
      <w:numFmt w:val="decimal"/>
      <w:lvlText w:val="%2."/>
      <w:lvlJc w:val="left"/>
      <w:pPr>
        <w:tabs>
          <w:tab w:val="num" w:pos="1440"/>
        </w:tabs>
        <w:ind w:left="1440" w:hanging="360"/>
      </w:pPr>
    </w:lvl>
    <w:lvl w:ilvl="2" w:tplc="67689220" w:tentative="1">
      <w:start w:val="1"/>
      <w:numFmt w:val="decimal"/>
      <w:lvlText w:val="%3."/>
      <w:lvlJc w:val="left"/>
      <w:pPr>
        <w:tabs>
          <w:tab w:val="num" w:pos="2160"/>
        </w:tabs>
        <w:ind w:left="2160" w:hanging="360"/>
      </w:pPr>
    </w:lvl>
    <w:lvl w:ilvl="3" w:tplc="79ECC130" w:tentative="1">
      <w:start w:val="1"/>
      <w:numFmt w:val="decimal"/>
      <w:lvlText w:val="%4."/>
      <w:lvlJc w:val="left"/>
      <w:pPr>
        <w:tabs>
          <w:tab w:val="num" w:pos="2880"/>
        </w:tabs>
        <w:ind w:left="2880" w:hanging="360"/>
      </w:pPr>
    </w:lvl>
    <w:lvl w:ilvl="4" w:tplc="E8BE442E" w:tentative="1">
      <w:start w:val="1"/>
      <w:numFmt w:val="decimal"/>
      <w:lvlText w:val="%5."/>
      <w:lvlJc w:val="left"/>
      <w:pPr>
        <w:tabs>
          <w:tab w:val="num" w:pos="3600"/>
        </w:tabs>
        <w:ind w:left="3600" w:hanging="360"/>
      </w:pPr>
    </w:lvl>
    <w:lvl w:ilvl="5" w:tplc="26280EA4" w:tentative="1">
      <w:start w:val="1"/>
      <w:numFmt w:val="decimal"/>
      <w:lvlText w:val="%6."/>
      <w:lvlJc w:val="left"/>
      <w:pPr>
        <w:tabs>
          <w:tab w:val="num" w:pos="4320"/>
        </w:tabs>
        <w:ind w:left="4320" w:hanging="360"/>
      </w:pPr>
    </w:lvl>
    <w:lvl w:ilvl="6" w:tplc="F02C7214" w:tentative="1">
      <w:start w:val="1"/>
      <w:numFmt w:val="decimal"/>
      <w:lvlText w:val="%7."/>
      <w:lvlJc w:val="left"/>
      <w:pPr>
        <w:tabs>
          <w:tab w:val="num" w:pos="5040"/>
        </w:tabs>
        <w:ind w:left="5040" w:hanging="360"/>
      </w:pPr>
    </w:lvl>
    <w:lvl w:ilvl="7" w:tplc="D354E41C" w:tentative="1">
      <w:start w:val="1"/>
      <w:numFmt w:val="decimal"/>
      <w:lvlText w:val="%8."/>
      <w:lvlJc w:val="left"/>
      <w:pPr>
        <w:tabs>
          <w:tab w:val="num" w:pos="5760"/>
        </w:tabs>
        <w:ind w:left="5760" w:hanging="360"/>
      </w:pPr>
    </w:lvl>
    <w:lvl w:ilvl="8" w:tplc="AE6020A4" w:tentative="1">
      <w:start w:val="1"/>
      <w:numFmt w:val="decimal"/>
      <w:lvlText w:val="%9."/>
      <w:lvlJc w:val="left"/>
      <w:pPr>
        <w:tabs>
          <w:tab w:val="num" w:pos="6480"/>
        </w:tabs>
        <w:ind w:left="6480" w:hanging="360"/>
      </w:pPr>
    </w:lvl>
  </w:abstractNum>
  <w:abstractNum w:abstractNumId="14" w15:restartNumberingAfterBreak="0">
    <w:nsid w:val="3A2D1E42"/>
    <w:multiLevelType w:val="hybridMultilevel"/>
    <w:tmpl w:val="1862CEEE"/>
    <w:lvl w:ilvl="0" w:tplc="2D94DE8A">
      <w:start w:val="2"/>
      <w:numFmt w:val="lowerLetter"/>
      <w:lvlText w:val="%1."/>
      <w:lvlJc w:val="left"/>
      <w:pPr>
        <w:tabs>
          <w:tab w:val="num" w:pos="720"/>
        </w:tabs>
        <w:ind w:left="720" w:hanging="360"/>
      </w:pPr>
    </w:lvl>
    <w:lvl w:ilvl="1" w:tplc="0A2C9238" w:tentative="1">
      <w:start w:val="1"/>
      <w:numFmt w:val="decimal"/>
      <w:lvlText w:val="%2."/>
      <w:lvlJc w:val="left"/>
      <w:pPr>
        <w:tabs>
          <w:tab w:val="num" w:pos="1440"/>
        </w:tabs>
        <w:ind w:left="1440" w:hanging="360"/>
      </w:pPr>
    </w:lvl>
    <w:lvl w:ilvl="2" w:tplc="09C2D73C" w:tentative="1">
      <w:start w:val="1"/>
      <w:numFmt w:val="decimal"/>
      <w:lvlText w:val="%3."/>
      <w:lvlJc w:val="left"/>
      <w:pPr>
        <w:tabs>
          <w:tab w:val="num" w:pos="2160"/>
        </w:tabs>
        <w:ind w:left="2160" w:hanging="360"/>
      </w:pPr>
    </w:lvl>
    <w:lvl w:ilvl="3" w:tplc="B846C98E" w:tentative="1">
      <w:start w:val="1"/>
      <w:numFmt w:val="decimal"/>
      <w:lvlText w:val="%4."/>
      <w:lvlJc w:val="left"/>
      <w:pPr>
        <w:tabs>
          <w:tab w:val="num" w:pos="2880"/>
        </w:tabs>
        <w:ind w:left="2880" w:hanging="360"/>
      </w:pPr>
    </w:lvl>
    <w:lvl w:ilvl="4" w:tplc="C540CCB6" w:tentative="1">
      <w:start w:val="1"/>
      <w:numFmt w:val="decimal"/>
      <w:lvlText w:val="%5."/>
      <w:lvlJc w:val="left"/>
      <w:pPr>
        <w:tabs>
          <w:tab w:val="num" w:pos="3600"/>
        </w:tabs>
        <w:ind w:left="3600" w:hanging="360"/>
      </w:pPr>
    </w:lvl>
    <w:lvl w:ilvl="5" w:tplc="FA08C174" w:tentative="1">
      <w:start w:val="1"/>
      <w:numFmt w:val="decimal"/>
      <w:lvlText w:val="%6."/>
      <w:lvlJc w:val="left"/>
      <w:pPr>
        <w:tabs>
          <w:tab w:val="num" w:pos="4320"/>
        </w:tabs>
        <w:ind w:left="4320" w:hanging="360"/>
      </w:pPr>
    </w:lvl>
    <w:lvl w:ilvl="6" w:tplc="2878FC40" w:tentative="1">
      <w:start w:val="1"/>
      <w:numFmt w:val="decimal"/>
      <w:lvlText w:val="%7."/>
      <w:lvlJc w:val="left"/>
      <w:pPr>
        <w:tabs>
          <w:tab w:val="num" w:pos="5040"/>
        </w:tabs>
        <w:ind w:left="5040" w:hanging="360"/>
      </w:pPr>
    </w:lvl>
    <w:lvl w:ilvl="7" w:tplc="C592F8A2" w:tentative="1">
      <w:start w:val="1"/>
      <w:numFmt w:val="decimal"/>
      <w:lvlText w:val="%8."/>
      <w:lvlJc w:val="left"/>
      <w:pPr>
        <w:tabs>
          <w:tab w:val="num" w:pos="5760"/>
        </w:tabs>
        <w:ind w:left="5760" w:hanging="360"/>
      </w:pPr>
    </w:lvl>
    <w:lvl w:ilvl="8" w:tplc="E6ACDE90" w:tentative="1">
      <w:start w:val="1"/>
      <w:numFmt w:val="decimal"/>
      <w:lvlText w:val="%9."/>
      <w:lvlJc w:val="left"/>
      <w:pPr>
        <w:tabs>
          <w:tab w:val="num" w:pos="6480"/>
        </w:tabs>
        <w:ind w:left="6480" w:hanging="360"/>
      </w:pPr>
    </w:lvl>
  </w:abstractNum>
  <w:abstractNum w:abstractNumId="15" w15:restartNumberingAfterBreak="0">
    <w:nsid w:val="3C216DE5"/>
    <w:multiLevelType w:val="multilevel"/>
    <w:tmpl w:val="6BBA2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7522C"/>
    <w:multiLevelType w:val="multilevel"/>
    <w:tmpl w:val="767E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11CDE"/>
    <w:multiLevelType w:val="multilevel"/>
    <w:tmpl w:val="3A12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346746"/>
    <w:multiLevelType w:val="multilevel"/>
    <w:tmpl w:val="8AA8D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680AB5"/>
    <w:multiLevelType w:val="hybridMultilevel"/>
    <w:tmpl w:val="E0023B26"/>
    <w:lvl w:ilvl="0" w:tplc="68DC35DE">
      <w:start w:val="2"/>
      <w:numFmt w:val="upperLetter"/>
      <w:lvlText w:val="%1."/>
      <w:lvlJc w:val="left"/>
      <w:pPr>
        <w:tabs>
          <w:tab w:val="num" w:pos="720"/>
        </w:tabs>
        <w:ind w:left="720" w:hanging="360"/>
      </w:pPr>
    </w:lvl>
    <w:lvl w:ilvl="1" w:tplc="D5C8F4E6" w:tentative="1">
      <w:start w:val="1"/>
      <w:numFmt w:val="decimal"/>
      <w:lvlText w:val="%2."/>
      <w:lvlJc w:val="left"/>
      <w:pPr>
        <w:tabs>
          <w:tab w:val="num" w:pos="1440"/>
        </w:tabs>
        <w:ind w:left="1440" w:hanging="360"/>
      </w:pPr>
    </w:lvl>
    <w:lvl w:ilvl="2" w:tplc="CA301968" w:tentative="1">
      <w:start w:val="1"/>
      <w:numFmt w:val="decimal"/>
      <w:lvlText w:val="%3."/>
      <w:lvlJc w:val="left"/>
      <w:pPr>
        <w:tabs>
          <w:tab w:val="num" w:pos="2160"/>
        </w:tabs>
        <w:ind w:left="2160" w:hanging="360"/>
      </w:pPr>
    </w:lvl>
    <w:lvl w:ilvl="3" w:tplc="ED36B24E" w:tentative="1">
      <w:start w:val="1"/>
      <w:numFmt w:val="decimal"/>
      <w:lvlText w:val="%4."/>
      <w:lvlJc w:val="left"/>
      <w:pPr>
        <w:tabs>
          <w:tab w:val="num" w:pos="2880"/>
        </w:tabs>
        <w:ind w:left="2880" w:hanging="360"/>
      </w:pPr>
    </w:lvl>
    <w:lvl w:ilvl="4" w:tplc="FD205728" w:tentative="1">
      <w:start w:val="1"/>
      <w:numFmt w:val="decimal"/>
      <w:lvlText w:val="%5."/>
      <w:lvlJc w:val="left"/>
      <w:pPr>
        <w:tabs>
          <w:tab w:val="num" w:pos="3600"/>
        </w:tabs>
        <w:ind w:left="3600" w:hanging="360"/>
      </w:pPr>
    </w:lvl>
    <w:lvl w:ilvl="5" w:tplc="12E6553E" w:tentative="1">
      <w:start w:val="1"/>
      <w:numFmt w:val="decimal"/>
      <w:lvlText w:val="%6."/>
      <w:lvlJc w:val="left"/>
      <w:pPr>
        <w:tabs>
          <w:tab w:val="num" w:pos="4320"/>
        </w:tabs>
        <w:ind w:left="4320" w:hanging="360"/>
      </w:pPr>
    </w:lvl>
    <w:lvl w:ilvl="6" w:tplc="91C4A6D8" w:tentative="1">
      <w:start w:val="1"/>
      <w:numFmt w:val="decimal"/>
      <w:lvlText w:val="%7."/>
      <w:lvlJc w:val="left"/>
      <w:pPr>
        <w:tabs>
          <w:tab w:val="num" w:pos="5040"/>
        </w:tabs>
        <w:ind w:left="5040" w:hanging="360"/>
      </w:pPr>
    </w:lvl>
    <w:lvl w:ilvl="7" w:tplc="30AA64B2" w:tentative="1">
      <w:start w:val="1"/>
      <w:numFmt w:val="decimal"/>
      <w:lvlText w:val="%8."/>
      <w:lvlJc w:val="left"/>
      <w:pPr>
        <w:tabs>
          <w:tab w:val="num" w:pos="5760"/>
        </w:tabs>
        <w:ind w:left="5760" w:hanging="360"/>
      </w:pPr>
    </w:lvl>
    <w:lvl w:ilvl="8" w:tplc="84A4F68A" w:tentative="1">
      <w:start w:val="1"/>
      <w:numFmt w:val="decimal"/>
      <w:lvlText w:val="%9."/>
      <w:lvlJc w:val="left"/>
      <w:pPr>
        <w:tabs>
          <w:tab w:val="num" w:pos="6480"/>
        </w:tabs>
        <w:ind w:left="6480" w:hanging="360"/>
      </w:pPr>
    </w:lvl>
  </w:abstractNum>
  <w:abstractNum w:abstractNumId="20" w15:restartNumberingAfterBreak="0">
    <w:nsid w:val="58C37E84"/>
    <w:multiLevelType w:val="multilevel"/>
    <w:tmpl w:val="85E89226"/>
    <w:lvl w:ilvl="0">
      <w:start w:val="1"/>
      <w:numFmt w:val="decimal"/>
      <w:lvlText w:val="%1."/>
      <w:lvlJc w:val="left"/>
      <w:pPr>
        <w:tabs>
          <w:tab w:val="num" w:pos="630"/>
        </w:tabs>
        <w:ind w:left="630" w:hanging="360"/>
      </w:pPr>
    </w:lvl>
    <w:lvl w:ilvl="1">
      <w:start w:val="1"/>
      <w:numFmt w:val="lowerLetter"/>
      <w:lvlText w:val="%2."/>
      <w:lvlJc w:val="left"/>
      <w:pPr>
        <w:ind w:left="1350" w:hanging="360"/>
      </w:pPr>
      <w:rPr>
        <w:rFonts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1" w15:restartNumberingAfterBreak="0">
    <w:nsid w:val="59637D5E"/>
    <w:multiLevelType w:val="multilevel"/>
    <w:tmpl w:val="A82C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B42409"/>
    <w:multiLevelType w:val="hybridMultilevel"/>
    <w:tmpl w:val="5038F760"/>
    <w:lvl w:ilvl="0" w:tplc="A8EC0190">
      <w:start w:val="3"/>
      <w:numFmt w:val="upperRoman"/>
      <w:lvlText w:val="%1."/>
      <w:lvlJc w:val="right"/>
      <w:pPr>
        <w:tabs>
          <w:tab w:val="num" w:pos="720"/>
        </w:tabs>
        <w:ind w:left="720" w:hanging="360"/>
      </w:pPr>
    </w:lvl>
    <w:lvl w:ilvl="1" w:tplc="5D563F8A" w:tentative="1">
      <w:start w:val="1"/>
      <w:numFmt w:val="decimal"/>
      <w:lvlText w:val="%2."/>
      <w:lvlJc w:val="left"/>
      <w:pPr>
        <w:tabs>
          <w:tab w:val="num" w:pos="1440"/>
        </w:tabs>
        <w:ind w:left="1440" w:hanging="360"/>
      </w:pPr>
    </w:lvl>
    <w:lvl w:ilvl="2" w:tplc="DFE86CF8" w:tentative="1">
      <w:start w:val="1"/>
      <w:numFmt w:val="decimal"/>
      <w:lvlText w:val="%3."/>
      <w:lvlJc w:val="left"/>
      <w:pPr>
        <w:tabs>
          <w:tab w:val="num" w:pos="2160"/>
        </w:tabs>
        <w:ind w:left="2160" w:hanging="360"/>
      </w:pPr>
    </w:lvl>
    <w:lvl w:ilvl="3" w:tplc="F056DA78" w:tentative="1">
      <w:start w:val="1"/>
      <w:numFmt w:val="decimal"/>
      <w:lvlText w:val="%4."/>
      <w:lvlJc w:val="left"/>
      <w:pPr>
        <w:tabs>
          <w:tab w:val="num" w:pos="2880"/>
        </w:tabs>
        <w:ind w:left="2880" w:hanging="360"/>
      </w:pPr>
    </w:lvl>
    <w:lvl w:ilvl="4" w:tplc="E0A00A16" w:tentative="1">
      <w:start w:val="1"/>
      <w:numFmt w:val="decimal"/>
      <w:lvlText w:val="%5."/>
      <w:lvlJc w:val="left"/>
      <w:pPr>
        <w:tabs>
          <w:tab w:val="num" w:pos="3600"/>
        </w:tabs>
        <w:ind w:left="3600" w:hanging="360"/>
      </w:pPr>
    </w:lvl>
    <w:lvl w:ilvl="5" w:tplc="48F8E4E8" w:tentative="1">
      <w:start w:val="1"/>
      <w:numFmt w:val="decimal"/>
      <w:lvlText w:val="%6."/>
      <w:lvlJc w:val="left"/>
      <w:pPr>
        <w:tabs>
          <w:tab w:val="num" w:pos="4320"/>
        </w:tabs>
        <w:ind w:left="4320" w:hanging="360"/>
      </w:pPr>
    </w:lvl>
    <w:lvl w:ilvl="6" w:tplc="5AB8B038" w:tentative="1">
      <w:start w:val="1"/>
      <w:numFmt w:val="decimal"/>
      <w:lvlText w:val="%7."/>
      <w:lvlJc w:val="left"/>
      <w:pPr>
        <w:tabs>
          <w:tab w:val="num" w:pos="5040"/>
        </w:tabs>
        <w:ind w:left="5040" w:hanging="360"/>
      </w:pPr>
    </w:lvl>
    <w:lvl w:ilvl="7" w:tplc="DFA8D04A" w:tentative="1">
      <w:start w:val="1"/>
      <w:numFmt w:val="decimal"/>
      <w:lvlText w:val="%8."/>
      <w:lvlJc w:val="left"/>
      <w:pPr>
        <w:tabs>
          <w:tab w:val="num" w:pos="5760"/>
        </w:tabs>
        <w:ind w:left="5760" w:hanging="360"/>
      </w:pPr>
    </w:lvl>
    <w:lvl w:ilvl="8" w:tplc="5D02918C" w:tentative="1">
      <w:start w:val="1"/>
      <w:numFmt w:val="decimal"/>
      <w:lvlText w:val="%9."/>
      <w:lvlJc w:val="left"/>
      <w:pPr>
        <w:tabs>
          <w:tab w:val="num" w:pos="6480"/>
        </w:tabs>
        <w:ind w:left="6480" w:hanging="360"/>
      </w:pPr>
    </w:lvl>
  </w:abstractNum>
  <w:abstractNum w:abstractNumId="23" w15:restartNumberingAfterBreak="0">
    <w:nsid w:val="6D4D6AA1"/>
    <w:multiLevelType w:val="hybridMultilevel"/>
    <w:tmpl w:val="E6D89958"/>
    <w:lvl w:ilvl="0" w:tplc="72DCF6E8">
      <w:start w:val="2"/>
      <w:numFmt w:val="lowerLetter"/>
      <w:lvlText w:val="%1."/>
      <w:lvlJc w:val="left"/>
      <w:pPr>
        <w:tabs>
          <w:tab w:val="num" w:pos="720"/>
        </w:tabs>
        <w:ind w:left="720" w:hanging="360"/>
      </w:pPr>
    </w:lvl>
    <w:lvl w:ilvl="1" w:tplc="BB8203AA" w:tentative="1">
      <w:start w:val="1"/>
      <w:numFmt w:val="decimal"/>
      <w:lvlText w:val="%2."/>
      <w:lvlJc w:val="left"/>
      <w:pPr>
        <w:tabs>
          <w:tab w:val="num" w:pos="1440"/>
        </w:tabs>
        <w:ind w:left="1440" w:hanging="360"/>
      </w:pPr>
    </w:lvl>
    <w:lvl w:ilvl="2" w:tplc="D632BE02" w:tentative="1">
      <w:start w:val="1"/>
      <w:numFmt w:val="decimal"/>
      <w:lvlText w:val="%3."/>
      <w:lvlJc w:val="left"/>
      <w:pPr>
        <w:tabs>
          <w:tab w:val="num" w:pos="2160"/>
        </w:tabs>
        <w:ind w:left="2160" w:hanging="360"/>
      </w:pPr>
    </w:lvl>
    <w:lvl w:ilvl="3" w:tplc="E1703D08" w:tentative="1">
      <w:start w:val="1"/>
      <w:numFmt w:val="decimal"/>
      <w:lvlText w:val="%4."/>
      <w:lvlJc w:val="left"/>
      <w:pPr>
        <w:tabs>
          <w:tab w:val="num" w:pos="2880"/>
        </w:tabs>
        <w:ind w:left="2880" w:hanging="360"/>
      </w:pPr>
    </w:lvl>
    <w:lvl w:ilvl="4" w:tplc="EF5425B6" w:tentative="1">
      <w:start w:val="1"/>
      <w:numFmt w:val="decimal"/>
      <w:lvlText w:val="%5."/>
      <w:lvlJc w:val="left"/>
      <w:pPr>
        <w:tabs>
          <w:tab w:val="num" w:pos="3600"/>
        </w:tabs>
        <w:ind w:left="3600" w:hanging="360"/>
      </w:pPr>
    </w:lvl>
    <w:lvl w:ilvl="5" w:tplc="403E04AE" w:tentative="1">
      <w:start w:val="1"/>
      <w:numFmt w:val="decimal"/>
      <w:lvlText w:val="%6."/>
      <w:lvlJc w:val="left"/>
      <w:pPr>
        <w:tabs>
          <w:tab w:val="num" w:pos="4320"/>
        </w:tabs>
        <w:ind w:left="4320" w:hanging="360"/>
      </w:pPr>
    </w:lvl>
    <w:lvl w:ilvl="6" w:tplc="04A21668" w:tentative="1">
      <w:start w:val="1"/>
      <w:numFmt w:val="decimal"/>
      <w:lvlText w:val="%7."/>
      <w:lvlJc w:val="left"/>
      <w:pPr>
        <w:tabs>
          <w:tab w:val="num" w:pos="5040"/>
        </w:tabs>
        <w:ind w:left="5040" w:hanging="360"/>
      </w:pPr>
    </w:lvl>
    <w:lvl w:ilvl="7" w:tplc="0FA0A9EA" w:tentative="1">
      <w:start w:val="1"/>
      <w:numFmt w:val="decimal"/>
      <w:lvlText w:val="%8."/>
      <w:lvlJc w:val="left"/>
      <w:pPr>
        <w:tabs>
          <w:tab w:val="num" w:pos="5760"/>
        </w:tabs>
        <w:ind w:left="5760" w:hanging="360"/>
      </w:pPr>
    </w:lvl>
    <w:lvl w:ilvl="8" w:tplc="1B2820E6" w:tentative="1">
      <w:start w:val="1"/>
      <w:numFmt w:val="decimal"/>
      <w:lvlText w:val="%9."/>
      <w:lvlJc w:val="left"/>
      <w:pPr>
        <w:tabs>
          <w:tab w:val="num" w:pos="6480"/>
        </w:tabs>
        <w:ind w:left="6480" w:hanging="360"/>
      </w:pPr>
    </w:lvl>
  </w:abstractNum>
  <w:abstractNum w:abstractNumId="24" w15:restartNumberingAfterBreak="0">
    <w:nsid w:val="6D7A2936"/>
    <w:multiLevelType w:val="multilevel"/>
    <w:tmpl w:val="5F48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E36765"/>
    <w:multiLevelType w:val="hybridMultilevel"/>
    <w:tmpl w:val="C444DF06"/>
    <w:lvl w:ilvl="0" w:tplc="A5EA76DE">
      <w:start w:val="3"/>
      <w:numFmt w:val="lowerLetter"/>
      <w:lvlText w:val="%1."/>
      <w:lvlJc w:val="left"/>
      <w:pPr>
        <w:tabs>
          <w:tab w:val="num" w:pos="720"/>
        </w:tabs>
        <w:ind w:left="720" w:hanging="360"/>
      </w:pPr>
    </w:lvl>
    <w:lvl w:ilvl="1" w:tplc="9BCC853C" w:tentative="1">
      <w:start w:val="1"/>
      <w:numFmt w:val="decimal"/>
      <w:lvlText w:val="%2."/>
      <w:lvlJc w:val="left"/>
      <w:pPr>
        <w:tabs>
          <w:tab w:val="num" w:pos="1440"/>
        </w:tabs>
        <w:ind w:left="1440" w:hanging="360"/>
      </w:pPr>
    </w:lvl>
    <w:lvl w:ilvl="2" w:tplc="ACDC1EC6" w:tentative="1">
      <w:start w:val="1"/>
      <w:numFmt w:val="decimal"/>
      <w:lvlText w:val="%3."/>
      <w:lvlJc w:val="left"/>
      <w:pPr>
        <w:tabs>
          <w:tab w:val="num" w:pos="2160"/>
        </w:tabs>
        <w:ind w:left="2160" w:hanging="360"/>
      </w:pPr>
    </w:lvl>
    <w:lvl w:ilvl="3" w:tplc="D3304ED0" w:tentative="1">
      <w:start w:val="1"/>
      <w:numFmt w:val="decimal"/>
      <w:lvlText w:val="%4."/>
      <w:lvlJc w:val="left"/>
      <w:pPr>
        <w:tabs>
          <w:tab w:val="num" w:pos="2880"/>
        </w:tabs>
        <w:ind w:left="2880" w:hanging="360"/>
      </w:pPr>
    </w:lvl>
    <w:lvl w:ilvl="4" w:tplc="F69C8916" w:tentative="1">
      <w:start w:val="1"/>
      <w:numFmt w:val="decimal"/>
      <w:lvlText w:val="%5."/>
      <w:lvlJc w:val="left"/>
      <w:pPr>
        <w:tabs>
          <w:tab w:val="num" w:pos="3600"/>
        </w:tabs>
        <w:ind w:left="3600" w:hanging="360"/>
      </w:pPr>
    </w:lvl>
    <w:lvl w:ilvl="5" w:tplc="98322550" w:tentative="1">
      <w:start w:val="1"/>
      <w:numFmt w:val="decimal"/>
      <w:lvlText w:val="%6."/>
      <w:lvlJc w:val="left"/>
      <w:pPr>
        <w:tabs>
          <w:tab w:val="num" w:pos="4320"/>
        </w:tabs>
        <w:ind w:left="4320" w:hanging="360"/>
      </w:pPr>
    </w:lvl>
    <w:lvl w:ilvl="6" w:tplc="CC38F91A" w:tentative="1">
      <w:start w:val="1"/>
      <w:numFmt w:val="decimal"/>
      <w:lvlText w:val="%7."/>
      <w:lvlJc w:val="left"/>
      <w:pPr>
        <w:tabs>
          <w:tab w:val="num" w:pos="5040"/>
        </w:tabs>
        <w:ind w:left="5040" w:hanging="360"/>
      </w:pPr>
    </w:lvl>
    <w:lvl w:ilvl="7" w:tplc="FEA8FB1E" w:tentative="1">
      <w:start w:val="1"/>
      <w:numFmt w:val="decimal"/>
      <w:lvlText w:val="%8."/>
      <w:lvlJc w:val="left"/>
      <w:pPr>
        <w:tabs>
          <w:tab w:val="num" w:pos="5760"/>
        </w:tabs>
        <w:ind w:left="5760" w:hanging="360"/>
      </w:pPr>
    </w:lvl>
    <w:lvl w:ilvl="8" w:tplc="7138D4D0" w:tentative="1">
      <w:start w:val="1"/>
      <w:numFmt w:val="decimal"/>
      <w:lvlText w:val="%9."/>
      <w:lvlJc w:val="left"/>
      <w:pPr>
        <w:tabs>
          <w:tab w:val="num" w:pos="6480"/>
        </w:tabs>
        <w:ind w:left="6480" w:hanging="360"/>
      </w:pPr>
    </w:lvl>
  </w:abstractNum>
  <w:abstractNum w:abstractNumId="26" w15:restartNumberingAfterBreak="0">
    <w:nsid w:val="7600320D"/>
    <w:multiLevelType w:val="multilevel"/>
    <w:tmpl w:val="32C63D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9170D7"/>
    <w:multiLevelType w:val="multilevel"/>
    <w:tmpl w:val="6D54D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0573279">
    <w:abstractNumId w:val="10"/>
    <w:lvlOverride w:ilvl="0">
      <w:lvl w:ilvl="0">
        <w:numFmt w:val="upperRoman"/>
        <w:lvlText w:val="%1."/>
        <w:lvlJc w:val="right"/>
      </w:lvl>
    </w:lvlOverride>
  </w:num>
  <w:num w:numId="2" w16cid:durableId="1007824762">
    <w:abstractNumId w:val="13"/>
  </w:num>
  <w:num w:numId="3" w16cid:durableId="1445802467">
    <w:abstractNumId w:val="17"/>
    <w:lvlOverride w:ilvl="0">
      <w:lvl w:ilvl="0">
        <w:numFmt w:val="upperLetter"/>
        <w:lvlText w:val="%1."/>
        <w:lvlJc w:val="left"/>
      </w:lvl>
    </w:lvlOverride>
  </w:num>
  <w:num w:numId="4" w16cid:durableId="1496531275">
    <w:abstractNumId w:val="4"/>
  </w:num>
  <w:num w:numId="5" w16cid:durableId="1181314822">
    <w:abstractNumId w:val="18"/>
    <w:lvlOverride w:ilvl="0">
      <w:lvl w:ilvl="0">
        <w:numFmt w:val="decimal"/>
        <w:lvlText w:val="%1."/>
        <w:lvlJc w:val="left"/>
      </w:lvl>
    </w:lvlOverride>
  </w:num>
  <w:num w:numId="6" w16cid:durableId="375549359">
    <w:abstractNumId w:val="21"/>
    <w:lvlOverride w:ilvl="0">
      <w:lvl w:ilvl="0">
        <w:numFmt w:val="lowerLetter"/>
        <w:lvlText w:val="%1."/>
        <w:lvlJc w:val="left"/>
      </w:lvl>
    </w:lvlOverride>
  </w:num>
  <w:num w:numId="7" w16cid:durableId="1243686853">
    <w:abstractNumId w:val="14"/>
  </w:num>
  <w:num w:numId="8" w16cid:durableId="1466122766">
    <w:abstractNumId w:val="3"/>
  </w:num>
  <w:num w:numId="9" w16cid:durableId="1596740958">
    <w:abstractNumId w:val="1"/>
    <w:lvlOverride w:ilvl="0">
      <w:lvl w:ilvl="0">
        <w:numFmt w:val="decimal"/>
        <w:lvlText w:val="%1."/>
        <w:lvlJc w:val="left"/>
      </w:lvl>
    </w:lvlOverride>
  </w:num>
  <w:num w:numId="10" w16cid:durableId="725029003">
    <w:abstractNumId w:val="22"/>
  </w:num>
  <w:num w:numId="11" w16cid:durableId="284623194">
    <w:abstractNumId w:val="2"/>
    <w:lvlOverride w:ilvl="0">
      <w:lvl w:ilvl="0">
        <w:numFmt w:val="upperLetter"/>
        <w:lvlText w:val="%1."/>
        <w:lvlJc w:val="left"/>
      </w:lvl>
    </w:lvlOverride>
  </w:num>
  <w:num w:numId="12" w16cid:durableId="1206990655">
    <w:abstractNumId w:val="20"/>
  </w:num>
  <w:num w:numId="13" w16cid:durableId="278757133">
    <w:abstractNumId w:val="27"/>
    <w:lvlOverride w:ilvl="0">
      <w:lvl w:ilvl="0">
        <w:numFmt w:val="decimal"/>
        <w:lvlText w:val="%1."/>
        <w:lvlJc w:val="left"/>
      </w:lvl>
    </w:lvlOverride>
  </w:num>
  <w:num w:numId="14" w16cid:durableId="1780174266">
    <w:abstractNumId w:val="9"/>
    <w:lvlOverride w:ilvl="0">
      <w:lvl w:ilvl="0">
        <w:numFmt w:val="decimal"/>
        <w:lvlText w:val="%1."/>
        <w:lvlJc w:val="left"/>
      </w:lvl>
    </w:lvlOverride>
  </w:num>
  <w:num w:numId="15" w16cid:durableId="570770873">
    <w:abstractNumId w:val="12"/>
    <w:lvlOverride w:ilvl="0">
      <w:lvl w:ilvl="0">
        <w:numFmt w:val="decimal"/>
        <w:lvlText w:val="%1."/>
        <w:lvlJc w:val="left"/>
      </w:lvl>
    </w:lvlOverride>
  </w:num>
  <w:num w:numId="16" w16cid:durableId="647782586">
    <w:abstractNumId w:val="16"/>
    <w:lvlOverride w:ilvl="0">
      <w:lvl w:ilvl="0">
        <w:numFmt w:val="lowerLetter"/>
        <w:lvlText w:val="%1."/>
        <w:lvlJc w:val="left"/>
      </w:lvl>
    </w:lvlOverride>
  </w:num>
  <w:num w:numId="17" w16cid:durableId="999580432">
    <w:abstractNumId w:val="23"/>
  </w:num>
  <w:num w:numId="18" w16cid:durableId="2086998912">
    <w:abstractNumId w:val="25"/>
  </w:num>
  <w:num w:numId="19" w16cid:durableId="959579149">
    <w:abstractNumId w:val="26"/>
  </w:num>
  <w:num w:numId="20" w16cid:durableId="2125803174">
    <w:abstractNumId w:val="15"/>
    <w:lvlOverride w:ilvl="0">
      <w:lvl w:ilvl="0">
        <w:numFmt w:val="decimal"/>
        <w:lvlText w:val="%1."/>
        <w:lvlJc w:val="left"/>
      </w:lvl>
    </w:lvlOverride>
  </w:num>
  <w:num w:numId="21" w16cid:durableId="539905702">
    <w:abstractNumId w:val="8"/>
    <w:lvlOverride w:ilvl="0">
      <w:lvl w:ilvl="0">
        <w:numFmt w:val="lowerLetter"/>
        <w:lvlText w:val="%1."/>
        <w:lvlJc w:val="left"/>
      </w:lvl>
    </w:lvlOverride>
  </w:num>
  <w:num w:numId="22" w16cid:durableId="1473715726">
    <w:abstractNumId w:val="7"/>
  </w:num>
  <w:num w:numId="23" w16cid:durableId="813453684">
    <w:abstractNumId w:val="11"/>
  </w:num>
  <w:num w:numId="24" w16cid:durableId="1549147714">
    <w:abstractNumId w:val="24"/>
    <w:lvlOverride w:ilvl="0">
      <w:lvl w:ilvl="0">
        <w:numFmt w:val="upperLetter"/>
        <w:lvlText w:val="%1."/>
        <w:lvlJc w:val="left"/>
      </w:lvl>
    </w:lvlOverride>
  </w:num>
  <w:num w:numId="25" w16cid:durableId="1520851102">
    <w:abstractNumId w:val="19"/>
  </w:num>
  <w:num w:numId="26" w16cid:durableId="26301061">
    <w:abstractNumId w:val="0"/>
  </w:num>
  <w:num w:numId="27" w16cid:durableId="509562034">
    <w:abstractNumId w:val="5"/>
  </w:num>
  <w:num w:numId="28" w16cid:durableId="4570685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seman, Hannah">
    <w15:presenceInfo w15:providerId="AD" w15:userId="S::hqw5351@psu.edu::33ce2cff-737c-47e6-9e9a-0ec8c9ac8e2d"/>
  </w15:person>
  <w15:person w15:author="Cooper, Michael">
    <w15:presenceInfo w15:providerId="AD" w15:userId="S::cooper2020@tamu.edu::845da455-40af-404e-becc-db997015298e"/>
  </w15:person>
  <w15:person w15:author="Walters, Daniel">
    <w15:presenceInfo w15:providerId="AD" w15:userId="S::dan_walters@tamu.edu::9648d894-af35-429a-b89e-9d13b81154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35"/>
    <w:rsid w:val="0000271F"/>
    <w:rsid w:val="00007423"/>
    <w:rsid w:val="00024935"/>
    <w:rsid w:val="000325BA"/>
    <w:rsid w:val="000341C4"/>
    <w:rsid w:val="000343B1"/>
    <w:rsid w:val="0003672B"/>
    <w:rsid w:val="0004168C"/>
    <w:rsid w:val="00054B60"/>
    <w:rsid w:val="00062286"/>
    <w:rsid w:val="00062A8D"/>
    <w:rsid w:val="000652E8"/>
    <w:rsid w:val="00070F56"/>
    <w:rsid w:val="00074ADB"/>
    <w:rsid w:val="00075911"/>
    <w:rsid w:val="00076211"/>
    <w:rsid w:val="00077CCC"/>
    <w:rsid w:val="00083E10"/>
    <w:rsid w:val="0008487F"/>
    <w:rsid w:val="000904D3"/>
    <w:rsid w:val="00090833"/>
    <w:rsid w:val="00095DEA"/>
    <w:rsid w:val="000A0C2E"/>
    <w:rsid w:val="000A1CCB"/>
    <w:rsid w:val="000A7B61"/>
    <w:rsid w:val="000B1A99"/>
    <w:rsid w:val="000B457F"/>
    <w:rsid w:val="000B644A"/>
    <w:rsid w:val="000B7984"/>
    <w:rsid w:val="000C348C"/>
    <w:rsid w:val="000C5B80"/>
    <w:rsid w:val="000C6AC7"/>
    <w:rsid w:val="000D10E6"/>
    <w:rsid w:val="000E1190"/>
    <w:rsid w:val="000E43F7"/>
    <w:rsid w:val="000F7262"/>
    <w:rsid w:val="00100538"/>
    <w:rsid w:val="00104D7B"/>
    <w:rsid w:val="00107CF7"/>
    <w:rsid w:val="00110E5D"/>
    <w:rsid w:val="00111D6B"/>
    <w:rsid w:val="00113727"/>
    <w:rsid w:val="001175D5"/>
    <w:rsid w:val="001203CA"/>
    <w:rsid w:val="00121021"/>
    <w:rsid w:val="00126E9F"/>
    <w:rsid w:val="00130ADD"/>
    <w:rsid w:val="0013173D"/>
    <w:rsid w:val="001375B3"/>
    <w:rsid w:val="001405CA"/>
    <w:rsid w:val="001548BE"/>
    <w:rsid w:val="0015777B"/>
    <w:rsid w:val="00160741"/>
    <w:rsid w:val="00166277"/>
    <w:rsid w:val="00166301"/>
    <w:rsid w:val="00167041"/>
    <w:rsid w:val="001676A4"/>
    <w:rsid w:val="00167C7E"/>
    <w:rsid w:val="00171440"/>
    <w:rsid w:val="00171A96"/>
    <w:rsid w:val="001813C5"/>
    <w:rsid w:val="00181A25"/>
    <w:rsid w:val="00182E60"/>
    <w:rsid w:val="001843AB"/>
    <w:rsid w:val="00184AA7"/>
    <w:rsid w:val="001866DC"/>
    <w:rsid w:val="0018680A"/>
    <w:rsid w:val="00187296"/>
    <w:rsid w:val="00195B0E"/>
    <w:rsid w:val="001A421F"/>
    <w:rsid w:val="001B14F7"/>
    <w:rsid w:val="001C0C44"/>
    <w:rsid w:val="001C1C8B"/>
    <w:rsid w:val="001C2E30"/>
    <w:rsid w:val="001C56C5"/>
    <w:rsid w:val="001D72DC"/>
    <w:rsid w:val="001E1A78"/>
    <w:rsid w:val="001F17FC"/>
    <w:rsid w:val="001F1826"/>
    <w:rsid w:val="001F23CA"/>
    <w:rsid w:val="001F2635"/>
    <w:rsid w:val="001F6EAB"/>
    <w:rsid w:val="001F739C"/>
    <w:rsid w:val="0020277B"/>
    <w:rsid w:val="0020288A"/>
    <w:rsid w:val="002039B7"/>
    <w:rsid w:val="002072EF"/>
    <w:rsid w:val="00215D2E"/>
    <w:rsid w:val="00221580"/>
    <w:rsid w:val="00227101"/>
    <w:rsid w:val="00231D31"/>
    <w:rsid w:val="002444C7"/>
    <w:rsid w:val="00255D63"/>
    <w:rsid w:val="00261560"/>
    <w:rsid w:val="002627BE"/>
    <w:rsid w:val="002654C4"/>
    <w:rsid w:val="00265502"/>
    <w:rsid w:val="002710E4"/>
    <w:rsid w:val="00275826"/>
    <w:rsid w:val="00285FF7"/>
    <w:rsid w:val="00286DFA"/>
    <w:rsid w:val="00290AEA"/>
    <w:rsid w:val="002913DE"/>
    <w:rsid w:val="002979B3"/>
    <w:rsid w:val="002A0434"/>
    <w:rsid w:val="002A0590"/>
    <w:rsid w:val="002A3249"/>
    <w:rsid w:val="002A7F14"/>
    <w:rsid w:val="002B20EB"/>
    <w:rsid w:val="002B67E6"/>
    <w:rsid w:val="002C1E55"/>
    <w:rsid w:val="002D0E5D"/>
    <w:rsid w:val="002D6395"/>
    <w:rsid w:val="002E043C"/>
    <w:rsid w:val="002E5860"/>
    <w:rsid w:val="002E6CEB"/>
    <w:rsid w:val="002E705C"/>
    <w:rsid w:val="002F0089"/>
    <w:rsid w:val="002F4A88"/>
    <w:rsid w:val="002F4AC6"/>
    <w:rsid w:val="002F7BE3"/>
    <w:rsid w:val="0030458B"/>
    <w:rsid w:val="003071E9"/>
    <w:rsid w:val="003104A3"/>
    <w:rsid w:val="0031458B"/>
    <w:rsid w:val="00326BF0"/>
    <w:rsid w:val="0032768C"/>
    <w:rsid w:val="0033018B"/>
    <w:rsid w:val="00346DCF"/>
    <w:rsid w:val="00360DCD"/>
    <w:rsid w:val="0036677E"/>
    <w:rsid w:val="00374E8A"/>
    <w:rsid w:val="003753A4"/>
    <w:rsid w:val="00381BDD"/>
    <w:rsid w:val="00384B29"/>
    <w:rsid w:val="003A0212"/>
    <w:rsid w:val="003A08EC"/>
    <w:rsid w:val="003A2A6A"/>
    <w:rsid w:val="003A2B90"/>
    <w:rsid w:val="003A57DF"/>
    <w:rsid w:val="003A7247"/>
    <w:rsid w:val="003A737B"/>
    <w:rsid w:val="003A7EA2"/>
    <w:rsid w:val="003B0C69"/>
    <w:rsid w:val="003B6BB4"/>
    <w:rsid w:val="003B79E3"/>
    <w:rsid w:val="003C3674"/>
    <w:rsid w:val="003C540D"/>
    <w:rsid w:val="003C5999"/>
    <w:rsid w:val="003C5BA8"/>
    <w:rsid w:val="003C768B"/>
    <w:rsid w:val="003D3305"/>
    <w:rsid w:val="003D6A32"/>
    <w:rsid w:val="003D74E0"/>
    <w:rsid w:val="003E2CFF"/>
    <w:rsid w:val="003F08D7"/>
    <w:rsid w:val="003F2FC2"/>
    <w:rsid w:val="003F6EA2"/>
    <w:rsid w:val="00401D9F"/>
    <w:rsid w:val="00403D85"/>
    <w:rsid w:val="00404B03"/>
    <w:rsid w:val="0040573D"/>
    <w:rsid w:val="0041384F"/>
    <w:rsid w:val="00415F67"/>
    <w:rsid w:val="00422E8B"/>
    <w:rsid w:val="004245CB"/>
    <w:rsid w:val="004301B9"/>
    <w:rsid w:val="004348F6"/>
    <w:rsid w:val="00453D1A"/>
    <w:rsid w:val="00455B67"/>
    <w:rsid w:val="004615E0"/>
    <w:rsid w:val="00462F6F"/>
    <w:rsid w:val="004656B2"/>
    <w:rsid w:val="00482E6F"/>
    <w:rsid w:val="00491089"/>
    <w:rsid w:val="00492594"/>
    <w:rsid w:val="004A682C"/>
    <w:rsid w:val="004A76B2"/>
    <w:rsid w:val="004D73A2"/>
    <w:rsid w:val="004E24A6"/>
    <w:rsid w:val="004E6973"/>
    <w:rsid w:val="004F39A5"/>
    <w:rsid w:val="004F4BD6"/>
    <w:rsid w:val="004F686D"/>
    <w:rsid w:val="004F7E29"/>
    <w:rsid w:val="00501161"/>
    <w:rsid w:val="005030A7"/>
    <w:rsid w:val="00506A15"/>
    <w:rsid w:val="0051207B"/>
    <w:rsid w:val="00521EC9"/>
    <w:rsid w:val="005224E9"/>
    <w:rsid w:val="00523783"/>
    <w:rsid w:val="00534464"/>
    <w:rsid w:val="00563967"/>
    <w:rsid w:val="00563AF8"/>
    <w:rsid w:val="00565A2F"/>
    <w:rsid w:val="0058248F"/>
    <w:rsid w:val="00582BF1"/>
    <w:rsid w:val="005A7A01"/>
    <w:rsid w:val="005B1D33"/>
    <w:rsid w:val="005B25CB"/>
    <w:rsid w:val="005B59B3"/>
    <w:rsid w:val="005B5CC5"/>
    <w:rsid w:val="005C3E2F"/>
    <w:rsid w:val="005C5C75"/>
    <w:rsid w:val="005D17B2"/>
    <w:rsid w:val="005D55D0"/>
    <w:rsid w:val="005E0672"/>
    <w:rsid w:val="005F58FB"/>
    <w:rsid w:val="00607FB3"/>
    <w:rsid w:val="00615664"/>
    <w:rsid w:val="00615773"/>
    <w:rsid w:val="0062583C"/>
    <w:rsid w:val="0063709F"/>
    <w:rsid w:val="0064552C"/>
    <w:rsid w:val="00650632"/>
    <w:rsid w:val="0065348F"/>
    <w:rsid w:val="00663BD3"/>
    <w:rsid w:val="0066610D"/>
    <w:rsid w:val="006669BF"/>
    <w:rsid w:val="00670612"/>
    <w:rsid w:val="006715FC"/>
    <w:rsid w:val="006736CD"/>
    <w:rsid w:val="006754F8"/>
    <w:rsid w:val="0068341F"/>
    <w:rsid w:val="00684C5F"/>
    <w:rsid w:val="00684CCF"/>
    <w:rsid w:val="00686BDA"/>
    <w:rsid w:val="006A0D37"/>
    <w:rsid w:val="006A2837"/>
    <w:rsid w:val="006B2168"/>
    <w:rsid w:val="006B66CE"/>
    <w:rsid w:val="006C22F8"/>
    <w:rsid w:val="006C3EC4"/>
    <w:rsid w:val="006C460E"/>
    <w:rsid w:val="006D5B56"/>
    <w:rsid w:val="006D7F73"/>
    <w:rsid w:val="006E26C3"/>
    <w:rsid w:val="006E7596"/>
    <w:rsid w:val="006F1E20"/>
    <w:rsid w:val="006F4098"/>
    <w:rsid w:val="006F62B2"/>
    <w:rsid w:val="006F6811"/>
    <w:rsid w:val="006F7B6D"/>
    <w:rsid w:val="006F7C65"/>
    <w:rsid w:val="007007E2"/>
    <w:rsid w:val="00700984"/>
    <w:rsid w:val="0070098A"/>
    <w:rsid w:val="007049EA"/>
    <w:rsid w:val="0070595C"/>
    <w:rsid w:val="00714B8D"/>
    <w:rsid w:val="0071583B"/>
    <w:rsid w:val="00716DAC"/>
    <w:rsid w:val="00721628"/>
    <w:rsid w:val="00721DA0"/>
    <w:rsid w:val="0072321B"/>
    <w:rsid w:val="00727C7D"/>
    <w:rsid w:val="00732E93"/>
    <w:rsid w:val="00733115"/>
    <w:rsid w:val="00733AE8"/>
    <w:rsid w:val="007360CD"/>
    <w:rsid w:val="0073789E"/>
    <w:rsid w:val="00745F6A"/>
    <w:rsid w:val="0074725C"/>
    <w:rsid w:val="00751D0F"/>
    <w:rsid w:val="00752DDC"/>
    <w:rsid w:val="0075492E"/>
    <w:rsid w:val="007560E3"/>
    <w:rsid w:val="0076443B"/>
    <w:rsid w:val="00775067"/>
    <w:rsid w:val="00776B81"/>
    <w:rsid w:val="00782AF4"/>
    <w:rsid w:val="00785D3E"/>
    <w:rsid w:val="00791A50"/>
    <w:rsid w:val="0079577A"/>
    <w:rsid w:val="007A01C2"/>
    <w:rsid w:val="007A1EB2"/>
    <w:rsid w:val="007A456C"/>
    <w:rsid w:val="007A506E"/>
    <w:rsid w:val="007B3BDF"/>
    <w:rsid w:val="007B58C4"/>
    <w:rsid w:val="007C0043"/>
    <w:rsid w:val="007C111A"/>
    <w:rsid w:val="007C1EF2"/>
    <w:rsid w:val="007C64C8"/>
    <w:rsid w:val="007D12C2"/>
    <w:rsid w:val="007D73C0"/>
    <w:rsid w:val="007E0E36"/>
    <w:rsid w:val="007F18F2"/>
    <w:rsid w:val="007F69A2"/>
    <w:rsid w:val="008064C0"/>
    <w:rsid w:val="00807F47"/>
    <w:rsid w:val="008111D6"/>
    <w:rsid w:val="008135EA"/>
    <w:rsid w:val="008239BA"/>
    <w:rsid w:val="008267FC"/>
    <w:rsid w:val="00836B4F"/>
    <w:rsid w:val="008420A1"/>
    <w:rsid w:val="00847433"/>
    <w:rsid w:val="0085450F"/>
    <w:rsid w:val="00863328"/>
    <w:rsid w:val="00863683"/>
    <w:rsid w:val="00864079"/>
    <w:rsid w:val="0087089B"/>
    <w:rsid w:val="00871FF0"/>
    <w:rsid w:val="0087440C"/>
    <w:rsid w:val="00874D79"/>
    <w:rsid w:val="008960A0"/>
    <w:rsid w:val="00896E91"/>
    <w:rsid w:val="008A26FF"/>
    <w:rsid w:val="008B2A05"/>
    <w:rsid w:val="008B2A78"/>
    <w:rsid w:val="008B325A"/>
    <w:rsid w:val="008B7024"/>
    <w:rsid w:val="008C4B0C"/>
    <w:rsid w:val="008D2F65"/>
    <w:rsid w:val="008D427B"/>
    <w:rsid w:val="008D659F"/>
    <w:rsid w:val="008D7100"/>
    <w:rsid w:val="008E254B"/>
    <w:rsid w:val="008F0749"/>
    <w:rsid w:val="008F0FE7"/>
    <w:rsid w:val="008F1039"/>
    <w:rsid w:val="009001DB"/>
    <w:rsid w:val="00905677"/>
    <w:rsid w:val="0092205D"/>
    <w:rsid w:val="009236D0"/>
    <w:rsid w:val="00923AD1"/>
    <w:rsid w:val="00924635"/>
    <w:rsid w:val="009308FC"/>
    <w:rsid w:val="00930DAF"/>
    <w:rsid w:val="00931296"/>
    <w:rsid w:val="00933FCF"/>
    <w:rsid w:val="00936D76"/>
    <w:rsid w:val="00940106"/>
    <w:rsid w:val="00941217"/>
    <w:rsid w:val="009473A2"/>
    <w:rsid w:val="00947ECC"/>
    <w:rsid w:val="0095113A"/>
    <w:rsid w:val="00952C7C"/>
    <w:rsid w:val="00953231"/>
    <w:rsid w:val="00953B8C"/>
    <w:rsid w:val="00957C96"/>
    <w:rsid w:val="00960D47"/>
    <w:rsid w:val="00962CCC"/>
    <w:rsid w:val="00964103"/>
    <w:rsid w:val="00967E40"/>
    <w:rsid w:val="00980458"/>
    <w:rsid w:val="00980596"/>
    <w:rsid w:val="00981DA8"/>
    <w:rsid w:val="009834DD"/>
    <w:rsid w:val="00983856"/>
    <w:rsid w:val="009A39D2"/>
    <w:rsid w:val="009A4171"/>
    <w:rsid w:val="009B02AA"/>
    <w:rsid w:val="009B42D7"/>
    <w:rsid w:val="009B5182"/>
    <w:rsid w:val="009C1C80"/>
    <w:rsid w:val="009C539E"/>
    <w:rsid w:val="009C55F4"/>
    <w:rsid w:val="009C7060"/>
    <w:rsid w:val="009D717C"/>
    <w:rsid w:val="009E44D0"/>
    <w:rsid w:val="009E636E"/>
    <w:rsid w:val="00A078C6"/>
    <w:rsid w:val="00A11F3D"/>
    <w:rsid w:val="00A13FCA"/>
    <w:rsid w:val="00A15CFD"/>
    <w:rsid w:val="00A16951"/>
    <w:rsid w:val="00A17973"/>
    <w:rsid w:val="00A33F8D"/>
    <w:rsid w:val="00A345A3"/>
    <w:rsid w:val="00A37B15"/>
    <w:rsid w:val="00A510DA"/>
    <w:rsid w:val="00A64F2F"/>
    <w:rsid w:val="00A70945"/>
    <w:rsid w:val="00A76A66"/>
    <w:rsid w:val="00A77FDE"/>
    <w:rsid w:val="00A80112"/>
    <w:rsid w:val="00A816F7"/>
    <w:rsid w:val="00A84DD6"/>
    <w:rsid w:val="00A85932"/>
    <w:rsid w:val="00A92113"/>
    <w:rsid w:val="00A93B7F"/>
    <w:rsid w:val="00A97FEB"/>
    <w:rsid w:val="00AA034C"/>
    <w:rsid w:val="00AA234B"/>
    <w:rsid w:val="00AB0A51"/>
    <w:rsid w:val="00AB726F"/>
    <w:rsid w:val="00AC5EDB"/>
    <w:rsid w:val="00AD25FC"/>
    <w:rsid w:val="00AF2A3F"/>
    <w:rsid w:val="00AF7156"/>
    <w:rsid w:val="00B10559"/>
    <w:rsid w:val="00B10E26"/>
    <w:rsid w:val="00B13A3E"/>
    <w:rsid w:val="00B1482F"/>
    <w:rsid w:val="00B14BD5"/>
    <w:rsid w:val="00B17C68"/>
    <w:rsid w:val="00B243E4"/>
    <w:rsid w:val="00B2720D"/>
    <w:rsid w:val="00B27701"/>
    <w:rsid w:val="00B2777C"/>
    <w:rsid w:val="00B453EE"/>
    <w:rsid w:val="00B46414"/>
    <w:rsid w:val="00B47C4A"/>
    <w:rsid w:val="00B522AE"/>
    <w:rsid w:val="00B6689C"/>
    <w:rsid w:val="00B7077A"/>
    <w:rsid w:val="00B762ED"/>
    <w:rsid w:val="00B77473"/>
    <w:rsid w:val="00B81D9B"/>
    <w:rsid w:val="00B8274F"/>
    <w:rsid w:val="00B92FFC"/>
    <w:rsid w:val="00B96AD6"/>
    <w:rsid w:val="00BA4772"/>
    <w:rsid w:val="00BA4FA5"/>
    <w:rsid w:val="00BA5104"/>
    <w:rsid w:val="00BB08DB"/>
    <w:rsid w:val="00BB53F4"/>
    <w:rsid w:val="00BB66C3"/>
    <w:rsid w:val="00BC1C2B"/>
    <w:rsid w:val="00BC2595"/>
    <w:rsid w:val="00BC273E"/>
    <w:rsid w:val="00BC340C"/>
    <w:rsid w:val="00BC761E"/>
    <w:rsid w:val="00BD30EC"/>
    <w:rsid w:val="00BD4224"/>
    <w:rsid w:val="00BD694E"/>
    <w:rsid w:val="00BE0E89"/>
    <w:rsid w:val="00BE37BB"/>
    <w:rsid w:val="00BE4144"/>
    <w:rsid w:val="00BF7FC3"/>
    <w:rsid w:val="00C127F6"/>
    <w:rsid w:val="00C1311D"/>
    <w:rsid w:val="00C13CED"/>
    <w:rsid w:val="00C167BB"/>
    <w:rsid w:val="00C212FE"/>
    <w:rsid w:val="00C236F0"/>
    <w:rsid w:val="00C23C43"/>
    <w:rsid w:val="00C30139"/>
    <w:rsid w:val="00C32414"/>
    <w:rsid w:val="00C3252B"/>
    <w:rsid w:val="00C346AA"/>
    <w:rsid w:val="00C353E4"/>
    <w:rsid w:val="00C45E41"/>
    <w:rsid w:val="00C546DA"/>
    <w:rsid w:val="00C56F6C"/>
    <w:rsid w:val="00C612FB"/>
    <w:rsid w:val="00C6133D"/>
    <w:rsid w:val="00C61664"/>
    <w:rsid w:val="00C62A01"/>
    <w:rsid w:val="00C874B6"/>
    <w:rsid w:val="00CA0ADB"/>
    <w:rsid w:val="00CA48EA"/>
    <w:rsid w:val="00CB09C8"/>
    <w:rsid w:val="00CB108B"/>
    <w:rsid w:val="00CB7A9F"/>
    <w:rsid w:val="00CD016C"/>
    <w:rsid w:val="00CD3438"/>
    <w:rsid w:val="00CD7142"/>
    <w:rsid w:val="00CE69F9"/>
    <w:rsid w:val="00CF2B76"/>
    <w:rsid w:val="00CF7342"/>
    <w:rsid w:val="00D01ECA"/>
    <w:rsid w:val="00D03862"/>
    <w:rsid w:val="00D0645C"/>
    <w:rsid w:val="00D133FE"/>
    <w:rsid w:val="00D13A30"/>
    <w:rsid w:val="00D21978"/>
    <w:rsid w:val="00D21A62"/>
    <w:rsid w:val="00D31133"/>
    <w:rsid w:val="00D3410F"/>
    <w:rsid w:val="00D344DC"/>
    <w:rsid w:val="00D370C6"/>
    <w:rsid w:val="00D40361"/>
    <w:rsid w:val="00D53A0B"/>
    <w:rsid w:val="00D57FBB"/>
    <w:rsid w:val="00D6115D"/>
    <w:rsid w:val="00D61AA0"/>
    <w:rsid w:val="00D628FE"/>
    <w:rsid w:val="00D6768A"/>
    <w:rsid w:val="00D72043"/>
    <w:rsid w:val="00D83805"/>
    <w:rsid w:val="00D902E9"/>
    <w:rsid w:val="00D96C1C"/>
    <w:rsid w:val="00DB45E5"/>
    <w:rsid w:val="00DC4950"/>
    <w:rsid w:val="00DC7C26"/>
    <w:rsid w:val="00DD0E41"/>
    <w:rsid w:val="00DD158D"/>
    <w:rsid w:val="00DD2749"/>
    <w:rsid w:val="00DD45A5"/>
    <w:rsid w:val="00DD60F4"/>
    <w:rsid w:val="00DD772B"/>
    <w:rsid w:val="00DE09AC"/>
    <w:rsid w:val="00DE6F8C"/>
    <w:rsid w:val="00DF60C4"/>
    <w:rsid w:val="00DF6B30"/>
    <w:rsid w:val="00DF7206"/>
    <w:rsid w:val="00DF79B9"/>
    <w:rsid w:val="00E003A3"/>
    <w:rsid w:val="00E03927"/>
    <w:rsid w:val="00E17079"/>
    <w:rsid w:val="00E202FA"/>
    <w:rsid w:val="00E2112D"/>
    <w:rsid w:val="00E21FAB"/>
    <w:rsid w:val="00E22EF4"/>
    <w:rsid w:val="00E23D32"/>
    <w:rsid w:val="00E26B05"/>
    <w:rsid w:val="00E3247A"/>
    <w:rsid w:val="00E331BB"/>
    <w:rsid w:val="00E338C0"/>
    <w:rsid w:val="00E34B78"/>
    <w:rsid w:val="00E455D7"/>
    <w:rsid w:val="00E512F5"/>
    <w:rsid w:val="00E52DBD"/>
    <w:rsid w:val="00E653CA"/>
    <w:rsid w:val="00E65917"/>
    <w:rsid w:val="00E66E0C"/>
    <w:rsid w:val="00E67060"/>
    <w:rsid w:val="00E71334"/>
    <w:rsid w:val="00E76B94"/>
    <w:rsid w:val="00E81BAC"/>
    <w:rsid w:val="00E820FD"/>
    <w:rsid w:val="00E83A7A"/>
    <w:rsid w:val="00E83E83"/>
    <w:rsid w:val="00EB1605"/>
    <w:rsid w:val="00EB2CA9"/>
    <w:rsid w:val="00EB2CC9"/>
    <w:rsid w:val="00EC3501"/>
    <w:rsid w:val="00EC79E0"/>
    <w:rsid w:val="00ED1631"/>
    <w:rsid w:val="00ED22D0"/>
    <w:rsid w:val="00ED2555"/>
    <w:rsid w:val="00EE02FF"/>
    <w:rsid w:val="00EE0805"/>
    <w:rsid w:val="00EE77D7"/>
    <w:rsid w:val="00EF022E"/>
    <w:rsid w:val="00EF055B"/>
    <w:rsid w:val="00EF239D"/>
    <w:rsid w:val="00EF2F87"/>
    <w:rsid w:val="00EF5F6F"/>
    <w:rsid w:val="00EF770A"/>
    <w:rsid w:val="00F0797D"/>
    <w:rsid w:val="00F113B4"/>
    <w:rsid w:val="00F2025B"/>
    <w:rsid w:val="00F2083D"/>
    <w:rsid w:val="00F21A05"/>
    <w:rsid w:val="00F23FBC"/>
    <w:rsid w:val="00F24706"/>
    <w:rsid w:val="00F32320"/>
    <w:rsid w:val="00F327B8"/>
    <w:rsid w:val="00F43B20"/>
    <w:rsid w:val="00F50C78"/>
    <w:rsid w:val="00F54E04"/>
    <w:rsid w:val="00F5620E"/>
    <w:rsid w:val="00F56F9E"/>
    <w:rsid w:val="00F6054D"/>
    <w:rsid w:val="00F61D82"/>
    <w:rsid w:val="00F636BE"/>
    <w:rsid w:val="00F7374B"/>
    <w:rsid w:val="00F75BC2"/>
    <w:rsid w:val="00F802DF"/>
    <w:rsid w:val="00F96D39"/>
    <w:rsid w:val="00FA0EB8"/>
    <w:rsid w:val="00FA6E18"/>
    <w:rsid w:val="00FB00E5"/>
    <w:rsid w:val="00FB1438"/>
    <w:rsid w:val="00FC14FC"/>
    <w:rsid w:val="00FC6AF1"/>
    <w:rsid w:val="00FD0F7C"/>
    <w:rsid w:val="00FD1EA1"/>
    <w:rsid w:val="00FD22CC"/>
    <w:rsid w:val="00FE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B252C"/>
  <w15:chartTrackingRefBased/>
  <w15:docId w15:val="{E8C902AD-9178-4DF7-9AB8-469E9849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83"/>
    <w:rPr>
      <w:rFonts w:ascii="Times New Roman" w:hAnsi="Times New Roman"/>
      <w:sz w:val="24"/>
    </w:rPr>
  </w:style>
  <w:style w:type="paragraph" w:styleId="Heading1">
    <w:name w:val="heading 1"/>
    <w:basedOn w:val="Normal"/>
    <w:next w:val="Normal"/>
    <w:link w:val="Heading1Char"/>
    <w:uiPriority w:val="9"/>
    <w:qFormat/>
    <w:rsid w:val="0052378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52378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23783"/>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24635"/>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924635"/>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924635"/>
  </w:style>
  <w:style w:type="character" w:styleId="Hyperlink">
    <w:name w:val="Hyperlink"/>
    <w:basedOn w:val="DefaultParagraphFont"/>
    <w:uiPriority w:val="99"/>
    <w:unhideWhenUsed/>
    <w:rsid w:val="00924635"/>
    <w:rPr>
      <w:color w:val="0000FF"/>
      <w:u w:val="single"/>
    </w:rPr>
  </w:style>
  <w:style w:type="paragraph" w:styleId="FootnoteText">
    <w:name w:val="footnote text"/>
    <w:basedOn w:val="Normal"/>
    <w:link w:val="FootnoteTextChar"/>
    <w:uiPriority w:val="99"/>
    <w:semiHidden/>
    <w:unhideWhenUsed/>
    <w:rsid w:val="00924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635"/>
    <w:rPr>
      <w:sz w:val="20"/>
      <w:szCs w:val="20"/>
    </w:rPr>
  </w:style>
  <w:style w:type="character" w:styleId="FootnoteReference">
    <w:name w:val="footnote reference"/>
    <w:basedOn w:val="DefaultParagraphFont"/>
    <w:uiPriority w:val="99"/>
    <w:unhideWhenUsed/>
    <w:rsid w:val="00924635"/>
    <w:rPr>
      <w:vertAlign w:val="superscript"/>
    </w:rPr>
  </w:style>
  <w:style w:type="paragraph" w:styleId="ListParagraph">
    <w:name w:val="List Paragraph"/>
    <w:basedOn w:val="Normal"/>
    <w:uiPriority w:val="34"/>
    <w:qFormat/>
    <w:rsid w:val="00924635"/>
    <w:pPr>
      <w:ind w:left="720"/>
      <w:contextualSpacing/>
    </w:pPr>
  </w:style>
  <w:style w:type="paragraph" w:styleId="Header">
    <w:name w:val="header"/>
    <w:basedOn w:val="Normal"/>
    <w:link w:val="HeaderChar"/>
    <w:uiPriority w:val="99"/>
    <w:unhideWhenUsed/>
    <w:rsid w:val="0043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8F6"/>
  </w:style>
  <w:style w:type="paragraph" w:styleId="Footer">
    <w:name w:val="footer"/>
    <w:basedOn w:val="Normal"/>
    <w:link w:val="FooterChar"/>
    <w:uiPriority w:val="99"/>
    <w:unhideWhenUsed/>
    <w:rsid w:val="0043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8F6"/>
  </w:style>
  <w:style w:type="character" w:customStyle="1" w:styleId="Heading1Char">
    <w:name w:val="Heading 1 Char"/>
    <w:basedOn w:val="DefaultParagraphFont"/>
    <w:link w:val="Heading1"/>
    <w:uiPriority w:val="9"/>
    <w:rsid w:val="0052378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2378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23783"/>
    <w:rPr>
      <w:rFonts w:ascii="Times New Roman" w:eastAsiaTheme="majorEastAsia" w:hAnsi="Times New Roman" w:cstheme="majorBidi"/>
      <w:sz w:val="24"/>
      <w:szCs w:val="24"/>
    </w:rPr>
  </w:style>
  <w:style w:type="paragraph" w:styleId="TOCHeading">
    <w:name w:val="TOC Heading"/>
    <w:basedOn w:val="Heading1"/>
    <w:next w:val="Normal"/>
    <w:uiPriority w:val="39"/>
    <w:unhideWhenUsed/>
    <w:qFormat/>
    <w:rsid w:val="007007E2"/>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007E2"/>
    <w:pPr>
      <w:spacing w:after="100"/>
    </w:pPr>
  </w:style>
  <w:style w:type="paragraph" w:styleId="TOC2">
    <w:name w:val="toc 2"/>
    <w:basedOn w:val="Normal"/>
    <w:next w:val="Normal"/>
    <w:autoRedefine/>
    <w:uiPriority w:val="39"/>
    <w:unhideWhenUsed/>
    <w:rsid w:val="00227101"/>
    <w:pPr>
      <w:tabs>
        <w:tab w:val="left" w:pos="660"/>
        <w:tab w:val="right" w:leader="dot" w:pos="7334"/>
      </w:tabs>
      <w:spacing w:after="100"/>
      <w:ind w:left="240"/>
    </w:pPr>
  </w:style>
  <w:style w:type="paragraph" w:styleId="TOC3">
    <w:name w:val="toc 3"/>
    <w:basedOn w:val="Normal"/>
    <w:next w:val="Normal"/>
    <w:autoRedefine/>
    <w:uiPriority w:val="39"/>
    <w:unhideWhenUsed/>
    <w:rsid w:val="007007E2"/>
    <w:pPr>
      <w:spacing w:after="100"/>
      <w:ind w:left="480"/>
    </w:pPr>
  </w:style>
  <w:style w:type="paragraph" w:styleId="Revision">
    <w:name w:val="Revision"/>
    <w:hidden/>
    <w:uiPriority w:val="99"/>
    <w:semiHidden/>
    <w:rsid w:val="00453D1A"/>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81BDD"/>
    <w:rPr>
      <w:sz w:val="16"/>
      <w:szCs w:val="16"/>
    </w:rPr>
  </w:style>
  <w:style w:type="paragraph" w:styleId="CommentText">
    <w:name w:val="annotation text"/>
    <w:basedOn w:val="Normal"/>
    <w:link w:val="CommentTextChar"/>
    <w:uiPriority w:val="99"/>
    <w:unhideWhenUsed/>
    <w:rsid w:val="00381BDD"/>
    <w:pPr>
      <w:spacing w:line="240" w:lineRule="auto"/>
    </w:pPr>
    <w:rPr>
      <w:sz w:val="20"/>
      <w:szCs w:val="20"/>
    </w:rPr>
  </w:style>
  <w:style w:type="character" w:customStyle="1" w:styleId="CommentTextChar">
    <w:name w:val="Comment Text Char"/>
    <w:basedOn w:val="DefaultParagraphFont"/>
    <w:link w:val="CommentText"/>
    <w:uiPriority w:val="99"/>
    <w:rsid w:val="00381B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1BDD"/>
    <w:rPr>
      <w:b/>
      <w:bCs/>
    </w:rPr>
  </w:style>
  <w:style w:type="character" w:customStyle="1" w:styleId="CommentSubjectChar">
    <w:name w:val="Comment Subject Char"/>
    <w:basedOn w:val="CommentTextChar"/>
    <w:link w:val="CommentSubject"/>
    <w:uiPriority w:val="99"/>
    <w:semiHidden/>
    <w:rsid w:val="00381BDD"/>
    <w:rPr>
      <w:rFonts w:ascii="Times New Roman" w:hAnsi="Times New Roman"/>
      <w:b/>
      <w:bCs/>
      <w:sz w:val="20"/>
      <w:szCs w:val="20"/>
    </w:rPr>
  </w:style>
  <w:style w:type="character" w:styleId="UnresolvedMention">
    <w:name w:val="Unresolved Mention"/>
    <w:basedOn w:val="DefaultParagraphFont"/>
    <w:uiPriority w:val="99"/>
    <w:semiHidden/>
    <w:unhideWhenUsed/>
    <w:rsid w:val="00E67060"/>
    <w:rPr>
      <w:color w:val="605E5C"/>
      <w:shd w:val="clear" w:color="auto" w:fill="E1DFDD"/>
    </w:rPr>
  </w:style>
  <w:style w:type="character" w:styleId="Emphasis">
    <w:name w:val="Emphasis"/>
    <w:basedOn w:val="DefaultParagraphFont"/>
    <w:uiPriority w:val="20"/>
    <w:qFormat/>
    <w:rsid w:val="003A7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7081">
      <w:bodyDiv w:val="1"/>
      <w:marLeft w:val="0"/>
      <w:marRight w:val="0"/>
      <w:marTop w:val="0"/>
      <w:marBottom w:val="0"/>
      <w:divBdr>
        <w:top w:val="none" w:sz="0" w:space="0" w:color="auto"/>
        <w:left w:val="none" w:sz="0" w:space="0" w:color="auto"/>
        <w:bottom w:val="none" w:sz="0" w:space="0" w:color="auto"/>
        <w:right w:val="none" w:sz="0" w:space="0" w:color="auto"/>
      </w:divBdr>
    </w:div>
    <w:div w:id="212273294">
      <w:bodyDiv w:val="1"/>
      <w:marLeft w:val="0"/>
      <w:marRight w:val="0"/>
      <w:marTop w:val="0"/>
      <w:marBottom w:val="0"/>
      <w:divBdr>
        <w:top w:val="none" w:sz="0" w:space="0" w:color="auto"/>
        <w:left w:val="none" w:sz="0" w:space="0" w:color="auto"/>
        <w:bottom w:val="none" w:sz="0" w:space="0" w:color="auto"/>
        <w:right w:val="none" w:sz="0" w:space="0" w:color="auto"/>
      </w:divBdr>
    </w:div>
    <w:div w:id="425856084">
      <w:bodyDiv w:val="1"/>
      <w:marLeft w:val="0"/>
      <w:marRight w:val="0"/>
      <w:marTop w:val="0"/>
      <w:marBottom w:val="0"/>
      <w:divBdr>
        <w:top w:val="none" w:sz="0" w:space="0" w:color="auto"/>
        <w:left w:val="none" w:sz="0" w:space="0" w:color="auto"/>
        <w:bottom w:val="none" w:sz="0" w:space="0" w:color="auto"/>
        <w:right w:val="none" w:sz="0" w:space="0" w:color="auto"/>
      </w:divBdr>
    </w:div>
    <w:div w:id="999888997">
      <w:bodyDiv w:val="1"/>
      <w:marLeft w:val="0"/>
      <w:marRight w:val="0"/>
      <w:marTop w:val="0"/>
      <w:marBottom w:val="0"/>
      <w:divBdr>
        <w:top w:val="none" w:sz="0" w:space="0" w:color="auto"/>
        <w:left w:val="none" w:sz="0" w:space="0" w:color="auto"/>
        <w:bottom w:val="none" w:sz="0" w:space="0" w:color="auto"/>
        <w:right w:val="none" w:sz="0" w:space="0" w:color="auto"/>
      </w:divBdr>
    </w:div>
    <w:div w:id="1249315946">
      <w:bodyDiv w:val="1"/>
      <w:marLeft w:val="0"/>
      <w:marRight w:val="0"/>
      <w:marTop w:val="0"/>
      <w:marBottom w:val="0"/>
      <w:divBdr>
        <w:top w:val="none" w:sz="0" w:space="0" w:color="auto"/>
        <w:left w:val="none" w:sz="0" w:space="0" w:color="auto"/>
        <w:bottom w:val="none" w:sz="0" w:space="0" w:color="auto"/>
        <w:right w:val="none" w:sz="0" w:space="0" w:color="auto"/>
      </w:divBdr>
    </w:div>
    <w:div w:id="1290893955">
      <w:bodyDiv w:val="1"/>
      <w:marLeft w:val="0"/>
      <w:marRight w:val="0"/>
      <w:marTop w:val="0"/>
      <w:marBottom w:val="0"/>
      <w:divBdr>
        <w:top w:val="none" w:sz="0" w:space="0" w:color="auto"/>
        <w:left w:val="none" w:sz="0" w:space="0" w:color="auto"/>
        <w:bottom w:val="none" w:sz="0" w:space="0" w:color="auto"/>
        <w:right w:val="none" w:sz="0" w:space="0" w:color="auto"/>
      </w:divBdr>
    </w:div>
    <w:div w:id="1420517283">
      <w:bodyDiv w:val="1"/>
      <w:marLeft w:val="0"/>
      <w:marRight w:val="0"/>
      <w:marTop w:val="0"/>
      <w:marBottom w:val="0"/>
      <w:divBdr>
        <w:top w:val="none" w:sz="0" w:space="0" w:color="auto"/>
        <w:left w:val="none" w:sz="0" w:space="0" w:color="auto"/>
        <w:bottom w:val="none" w:sz="0" w:space="0" w:color="auto"/>
        <w:right w:val="none" w:sz="0" w:space="0" w:color="auto"/>
      </w:divBdr>
    </w:div>
    <w:div w:id="1432387393">
      <w:bodyDiv w:val="1"/>
      <w:marLeft w:val="0"/>
      <w:marRight w:val="0"/>
      <w:marTop w:val="0"/>
      <w:marBottom w:val="0"/>
      <w:divBdr>
        <w:top w:val="none" w:sz="0" w:space="0" w:color="auto"/>
        <w:left w:val="none" w:sz="0" w:space="0" w:color="auto"/>
        <w:bottom w:val="none" w:sz="0" w:space="0" w:color="auto"/>
        <w:right w:val="none" w:sz="0" w:space="0" w:color="auto"/>
      </w:divBdr>
      <w:divsChild>
        <w:div w:id="96675716">
          <w:marLeft w:val="-100"/>
          <w:marRight w:val="0"/>
          <w:marTop w:val="0"/>
          <w:marBottom w:val="0"/>
          <w:divBdr>
            <w:top w:val="none" w:sz="0" w:space="0" w:color="auto"/>
            <w:left w:val="none" w:sz="0" w:space="0" w:color="auto"/>
            <w:bottom w:val="none" w:sz="0" w:space="0" w:color="auto"/>
            <w:right w:val="none" w:sz="0" w:space="0" w:color="auto"/>
          </w:divBdr>
        </w:div>
      </w:divsChild>
    </w:div>
    <w:div w:id="1553880608">
      <w:bodyDiv w:val="1"/>
      <w:marLeft w:val="0"/>
      <w:marRight w:val="0"/>
      <w:marTop w:val="0"/>
      <w:marBottom w:val="0"/>
      <w:divBdr>
        <w:top w:val="none" w:sz="0" w:space="0" w:color="auto"/>
        <w:left w:val="none" w:sz="0" w:space="0" w:color="auto"/>
        <w:bottom w:val="none" w:sz="0" w:space="0" w:color="auto"/>
        <w:right w:val="none" w:sz="0" w:space="0" w:color="auto"/>
      </w:divBdr>
    </w:div>
    <w:div w:id="1666469144">
      <w:bodyDiv w:val="1"/>
      <w:marLeft w:val="0"/>
      <w:marRight w:val="0"/>
      <w:marTop w:val="0"/>
      <w:marBottom w:val="0"/>
      <w:divBdr>
        <w:top w:val="none" w:sz="0" w:space="0" w:color="auto"/>
        <w:left w:val="none" w:sz="0" w:space="0" w:color="auto"/>
        <w:bottom w:val="none" w:sz="0" w:space="0" w:color="auto"/>
        <w:right w:val="none" w:sz="0" w:space="0" w:color="auto"/>
      </w:divBdr>
    </w:div>
    <w:div w:id="1901094961">
      <w:bodyDiv w:val="1"/>
      <w:marLeft w:val="0"/>
      <w:marRight w:val="0"/>
      <w:marTop w:val="0"/>
      <w:marBottom w:val="0"/>
      <w:divBdr>
        <w:top w:val="none" w:sz="0" w:space="0" w:color="auto"/>
        <w:left w:val="none" w:sz="0" w:space="0" w:color="auto"/>
        <w:bottom w:val="none" w:sz="0" w:space="0" w:color="auto"/>
        <w:right w:val="none" w:sz="0" w:space="0" w:color="auto"/>
      </w:divBdr>
    </w:div>
    <w:div w:id="20760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3" Type="http://schemas.openxmlformats.org/officeDocument/2006/relationships/hyperlink" Target="https://www.nist.gov/standards" TargetMode="External"/><Relationship Id="rId18" Type="http://schemas.openxmlformats.org/officeDocument/2006/relationships/hyperlink" Target="http://fuelcellstandards.com/aiaaG095.htm" TargetMode="External"/><Relationship Id="rId26" Type="http://schemas.openxmlformats.org/officeDocument/2006/relationships/hyperlink" Target="https://www.fchea.org/aboutus" TargetMode="External"/><Relationship Id="rId3" Type="http://schemas.openxmlformats.org/officeDocument/2006/relationships/hyperlink" Target="https://www.astmcannabis.org/" TargetMode="External"/><Relationship Id="rId21" Type="http://schemas.openxmlformats.org/officeDocument/2006/relationships/hyperlink" Target="https://www.energy.gov/eere/fuelcells/safe-use-hydrogen" TargetMode="External"/><Relationship Id="rId34" Type="http://schemas.openxmlformats.org/officeDocument/2006/relationships/hyperlink" Target="https://www.energy.gov/eere/fuelcells/codes-and-standards-activities" TargetMode="External"/><Relationship Id="rId7" Type="http://schemas.openxmlformats.org/officeDocument/2006/relationships/hyperlink" Target="https://sdtimes.com/ai/anthropic-google-microsoft-and-openai-form-group-dedicated-to-safe-development-of-frontier-ai-models/" TargetMode="External"/><Relationship Id="rId12" Type="http://schemas.openxmlformats.org/officeDocument/2006/relationships/hyperlink" Target="https://nvlpubs.nist.gov/nistpubs/Legacy/circ/nbscircular50.pdf" TargetMode="External"/><Relationship Id="rId17" Type="http://schemas.openxmlformats.org/officeDocument/2006/relationships/hyperlink" Target="https://www.energy.gov/eere/fuelcells/doe-safety-codes-and-standards-activities" TargetMode="External"/><Relationship Id="rId25" Type="http://schemas.openxmlformats.org/officeDocument/2006/relationships/hyperlink" Target="https://osfm.fire.ca.gov/media/8419/ib_14010codesupplementnfpa2.pdf" TargetMode="External"/><Relationship Id="rId33" Type="http://schemas.openxmlformats.org/officeDocument/2006/relationships/hyperlink" Target="https://www.osti.gov/servlets/purl/1429299" TargetMode="External"/><Relationship Id="rId2" Type="http://schemas.openxmlformats.org/officeDocument/2006/relationships/hyperlink" Target="https://www.astmcannabis.org" TargetMode="External"/><Relationship Id="rId16" Type="http://schemas.openxmlformats.org/officeDocument/2006/relationships/hyperlink" Target="https://www.nerc.com/news/Documents/NERCHistoryBook.pdf" TargetMode="External"/><Relationship Id="rId20" Type="http://schemas.openxmlformats.org/officeDocument/2006/relationships/hyperlink" Target="https://www.hydrogen.energy.gov/pdfs/hydrogen-program-plan-2020.pdf" TargetMode="External"/><Relationship Id="rId29" Type="http://schemas.openxmlformats.org/officeDocument/2006/relationships/hyperlink" Target="https://h21.green/" TargetMode="External"/><Relationship Id="rId1" Type="http://schemas.openxmlformats.org/officeDocument/2006/relationships/hyperlink" Target="https://www.asme.org" TargetMode="External"/><Relationship Id="rId6" Type="http://schemas.openxmlformats.org/officeDocument/2006/relationships/hyperlink" Target="https://energy.sandia.gov/wp-content/uploads/2021/03/H2-Regulatory-Map-Report_SAND2021-2955.pdf" TargetMode="External"/><Relationship Id="rId11" Type="http://schemas.openxmlformats.org/officeDocument/2006/relationships/hyperlink" Target="https://www.velaw.com/insights/federal-hydrogen-regulation-in-the-united-states-where-we-are-and-where-we-might-be-going/" TargetMode="External"/><Relationship Id="rId24" Type="http://schemas.openxmlformats.org/officeDocument/2006/relationships/hyperlink" Target="https://h2tools.org/fuel-cell-codes-and-standards/aiaa-g-095-guide-safety-hydrogen-and-hydrogen-systems" TargetMode="External"/><Relationship Id="rId32" Type="http://schemas.openxmlformats.org/officeDocument/2006/relationships/hyperlink" Target="https://h2tools.org/fuel-cell-codes-and-standards/cga-ps-48-cga-position-statement-clarification-existing-hydrogen" TargetMode="External"/><Relationship Id="rId5" Type="http://schemas.openxmlformats.org/officeDocument/2006/relationships/hyperlink" Target="https://papers.ssrn.com/sol3/papers.cfm?abstract_id=1953547" TargetMode="External"/><Relationship Id="rId15" Type="http://schemas.openxmlformats.org/officeDocument/2006/relationships/hyperlink" Target="file:///C:\Users\dan_walters\Downloads\d%20with%20administering.%22" TargetMode="External"/><Relationship Id="rId23" Type="http://schemas.openxmlformats.org/officeDocument/2006/relationships/hyperlink" Target="https://www.eia.gov/energyexplained/hydrogen/use-of-hydrogen.php" TargetMode="External"/><Relationship Id="rId28" Type="http://schemas.openxmlformats.org/officeDocument/2006/relationships/hyperlink" Target="https://www.api.org/products-and-services/standards/important-standards-announcements" TargetMode="External"/><Relationship Id="rId36" Type="http://schemas.openxmlformats.org/officeDocument/2006/relationships/hyperlink" Target="https://www.garanteprivacy.it/home/docweb/-/docweb-display/docweb/9870847" TargetMode="External"/><Relationship Id="rId10" Type="http://schemas.openxmlformats.org/officeDocument/2006/relationships/hyperlink" Target="https://www.kslaw.com/blog-posts/building-the-hydrogen-sector-will-require-new-laws-regs-2" TargetMode="External"/><Relationship Id="rId19" Type="http://schemas.openxmlformats.org/officeDocument/2006/relationships/hyperlink" Target="https://www.energy.gov/eere/fuelcells/hydrogen-pipelines" TargetMode="External"/><Relationship Id="rId31" Type="http://schemas.openxmlformats.org/officeDocument/2006/relationships/hyperlink" Target="https://h2tools.org/fuel-cell-codes-and-standards?search_api_fulltext=" TargetMode="External"/><Relationship Id="rId4" Type="http://schemas.openxmlformats.org/officeDocument/2006/relationships/hyperlink" Target="https://www.iccsafe.org/about/who-we-are/" TargetMode="External"/><Relationship Id="rId9" Type="http://schemas.openxmlformats.org/officeDocument/2006/relationships/hyperlink" Target="https://home.treasury.gov/policy-issues/financial-markets-financial-institutions-and-fiscal-service/fsoc" TargetMode="External"/><Relationship Id="rId14" Type="http://schemas.openxmlformats.org/officeDocument/2006/relationships/hyperlink" Target="https://www.brookings.edu/articles/the-us-government-should-regulate-ai/" TargetMode="External"/><Relationship Id="rId22" Type="http://schemas.openxmlformats.org/officeDocument/2006/relationships/hyperlink" Target="https://www.nfpa.org/About-NFPA/NFPA-overview/History-of-NFPA" TargetMode="External"/><Relationship Id="rId27" Type="http://schemas.openxmlformats.org/officeDocument/2006/relationships/hyperlink" Target="https://www.hydrogen.energy.gov/pdfs/progress18/scs_rivkin_2018.pdf" TargetMode="External"/><Relationship Id="rId30" Type="http://schemas.openxmlformats.org/officeDocument/2006/relationships/hyperlink" Target="https://h21.green/what-do-the-public-think-about-hydrogen/" TargetMode="External"/><Relationship Id="rId35" Type="http://schemas.openxmlformats.org/officeDocument/2006/relationships/hyperlink" Target="https://www.washingtonpost.com/technology/interactive/2023/ai-jobs-workplace/" TargetMode="External"/><Relationship Id="rId8" Type="http://schemas.openxmlformats.org/officeDocument/2006/relationships/hyperlink" Target="https://openai.com/blog/frontier-model-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33E5126F18E43A98D9FFB24D5619B" ma:contentTypeVersion="9" ma:contentTypeDescription="Create a new document." ma:contentTypeScope="" ma:versionID="95f0c5be76e4a604697d9eda7bd6dd2a">
  <xsd:schema xmlns:xsd="http://www.w3.org/2001/XMLSchema" xmlns:xs="http://www.w3.org/2001/XMLSchema" xmlns:p="http://schemas.microsoft.com/office/2006/metadata/properties" xmlns:ns3="67bfa271-73b5-4a9d-b047-2407e4e85c04" targetNamespace="http://schemas.microsoft.com/office/2006/metadata/properties" ma:root="true" ma:fieldsID="b342f27a67d9c1030f6b9e3620b80d15" ns3:_="">
    <xsd:import namespace="67bfa271-73b5-4a9d-b047-2407e4e85c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fa271-73b5-4a9d-b047-2407e4e85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88B40-566A-445B-BE8C-95320190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fa271-73b5-4a9d-b047-2407e4e8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9A688-DEFB-47FC-A646-B3F5985C9804}">
  <ds:schemaRefs>
    <ds:schemaRef ds:uri="http://schemas.openxmlformats.org/officeDocument/2006/bibliography"/>
  </ds:schemaRefs>
</ds:datastoreItem>
</file>

<file path=customXml/itemProps3.xml><?xml version="1.0" encoding="utf-8"?>
<ds:datastoreItem xmlns:ds="http://schemas.openxmlformats.org/officeDocument/2006/customXml" ds:itemID="{DB8E6355-19DE-4E27-962D-C750AD63E8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12574-1FE9-4B29-A9BC-C7B4388B0440}">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3</TotalTime>
  <Pages>62</Pages>
  <Words>19801</Words>
  <Characters>112871</Characters>
  <Application>Microsoft Office Word</Application>
  <DocSecurity>4</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Daniel</dc:creator>
  <cp:keywords/>
  <dc:description/>
  <cp:lastModifiedBy>Wiseman, Hannah</cp:lastModifiedBy>
  <cp:revision>2</cp:revision>
  <cp:lastPrinted>2022-09-21T16:56:00Z</cp:lastPrinted>
  <dcterms:created xsi:type="dcterms:W3CDTF">2023-10-26T13:45:00Z</dcterms:created>
  <dcterms:modified xsi:type="dcterms:W3CDTF">2023-10-26T13:45:00Z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0x010100D6333E5126F18E43A98D9FFB24D5619B</vt:lpwstr>
  </property>
</Properties>
</file>